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965"/>
        <w:gridCol w:w="1709"/>
        <w:gridCol w:w="1801"/>
        <w:gridCol w:w="2875"/>
      </w:tblGrid>
      <w:tr w:rsidR="000E2209" w:rsidTr="000E2209">
        <w:trPr>
          <w:trHeight w:val="530"/>
        </w:trPr>
        <w:tc>
          <w:tcPr>
            <w:tcW w:w="9350" w:type="dxa"/>
            <w:gridSpan w:val="4"/>
            <w:shd w:val="clear" w:color="auto" w:fill="44546A" w:themeFill="text2"/>
            <w:vAlign w:val="center"/>
          </w:tcPr>
          <w:p w:rsidR="000E2209" w:rsidRPr="000E2209" w:rsidRDefault="000E2209" w:rsidP="000E2209">
            <w:pPr>
              <w:jc w:val="center"/>
              <w:rPr>
                <w:color w:val="FFFFFF" w:themeColor="background1"/>
                <w:sz w:val="32"/>
                <w:szCs w:val="32"/>
              </w:rPr>
            </w:pPr>
            <w:r w:rsidRPr="000E2209">
              <w:rPr>
                <w:color w:val="FFFFFF" w:themeColor="background1"/>
                <w:sz w:val="32"/>
                <w:szCs w:val="32"/>
              </w:rPr>
              <w:t>Organizational Change Management</w:t>
            </w:r>
          </w:p>
        </w:tc>
      </w:tr>
      <w:tr w:rsidR="00954BF0" w:rsidTr="000D170F">
        <w:trPr>
          <w:trHeight w:val="440"/>
        </w:trPr>
        <w:tc>
          <w:tcPr>
            <w:tcW w:w="2965" w:type="dxa"/>
            <w:vAlign w:val="center"/>
          </w:tcPr>
          <w:p w:rsidR="00954BF0" w:rsidRDefault="00954BF0" w:rsidP="00954BF0">
            <w:pPr>
              <w:jc w:val="center"/>
            </w:pPr>
            <w:r>
              <w:t>Mastery</w:t>
            </w:r>
          </w:p>
        </w:tc>
        <w:tc>
          <w:tcPr>
            <w:tcW w:w="1709" w:type="dxa"/>
            <w:vAlign w:val="center"/>
          </w:tcPr>
          <w:p w:rsidR="00954BF0" w:rsidRDefault="00954BF0" w:rsidP="00954BF0">
            <w:pPr>
              <w:jc w:val="center"/>
            </w:pPr>
            <w:r>
              <w:t>Competent</w:t>
            </w:r>
          </w:p>
        </w:tc>
        <w:tc>
          <w:tcPr>
            <w:tcW w:w="1801" w:type="dxa"/>
            <w:vAlign w:val="center"/>
          </w:tcPr>
          <w:p w:rsidR="00954BF0" w:rsidRDefault="00954BF0" w:rsidP="00954BF0">
            <w:pPr>
              <w:jc w:val="center"/>
            </w:pPr>
            <w:r>
              <w:t>Adequate</w:t>
            </w:r>
          </w:p>
        </w:tc>
        <w:tc>
          <w:tcPr>
            <w:tcW w:w="2875" w:type="dxa"/>
            <w:vAlign w:val="center"/>
          </w:tcPr>
          <w:p w:rsidR="00954BF0" w:rsidRDefault="00954BF0" w:rsidP="00954BF0">
            <w:pPr>
              <w:jc w:val="center"/>
            </w:pPr>
            <w:r>
              <w:t>Insufficient</w:t>
            </w:r>
          </w:p>
        </w:tc>
      </w:tr>
      <w:tr w:rsidR="000E2209" w:rsidTr="000D170F">
        <w:trPr>
          <w:trHeight w:val="890"/>
        </w:trPr>
        <w:tc>
          <w:tcPr>
            <w:tcW w:w="2965" w:type="dxa"/>
            <w:vAlign w:val="center"/>
          </w:tcPr>
          <w:p w:rsidR="000E2209" w:rsidRDefault="000E2209" w:rsidP="000D170F">
            <w:pPr>
              <w:jc w:val="center"/>
            </w:pPr>
            <w:r>
              <w:t xml:space="preserve">Investment demonstrates </w:t>
            </w:r>
            <w:r w:rsidR="00954BF0">
              <w:t>complete</w:t>
            </w:r>
            <w:r>
              <w:t xml:space="preserve"> consideration and resources for OCM. </w:t>
            </w:r>
            <w:r w:rsidR="000D170F">
              <w:t>E</w:t>
            </w:r>
            <w:r>
              <w:t>fforts are proportional to the size of the change taking place.</w:t>
            </w:r>
          </w:p>
        </w:tc>
        <w:tc>
          <w:tcPr>
            <w:tcW w:w="1709" w:type="dxa"/>
          </w:tcPr>
          <w:p w:rsidR="000E2209" w:rsidRDefault="001E79E8" w:rsidP="00954BF0">
            <w:pPr>
              <w:jc w:val="center"/>
            </w:pPr>
            <w:r>
              <w:t>Mostly aligned with Mastery</w:t>
            </w:r>
          </w:p>
        </w:tc>
        <w:tc>
          <w:tcPr>
            <w:tcW w:w="1801" w:type="dxa"/>
          </w:tcPr>
          <w:p w:rsidR="000E2209" w:rsidRDefault="001E79E8" w:rsidP="000E2209">
            <w:pPr>
              <w:jc w:val="center"/>
            </w:pPr>
            <w:r>
              <w:t>Partially aligned with Mastery</w:t>
            </w:r>
          </w:p>
        </w:tc>
        <w:tc>
          <w:tcPr>
            <w:tcW w:w="2875" w:type="dxa"/>
          </w:tcPr>
          <w:p w:rsidR="000E2209" w:rsidRDefault="001E79E8" w:rsidP="000D170F">
            <w:pPr>
              <w:jc w:val="center"/>
            </w:pPr>
            <w:r>
              <w:t xml:space="preserve">Investment dramatically underestimates OCM requirements for this effort, or OCM efforts </w:t>
            </w:r>
            <w:r w:rsidR="000D170F">
              <w:t>inadequate to address the impact</w:t>
            </w:r>
            <w:r>
              <w:t xml:space="preserve"> of the change in the organization. </w:t>
            </w:r>
          </w:p>
        </w:tc>
      </w:tr>
    </w:tbl>
    <w:p w:rsidR="001E79E8" w:rsidRDefault="001E79E8"/>
    <w:tbl>
      <w:tblPr>
        <w:tblStyle w:val="TableGrid"/>
        <w:tblW w:w="0" w:type="auto"/>
        <w:tblLook w:val="04A0" w:firstRow="1" w:lastRow="0" w:firstColumn="1" w:lastColumn="0" w:noHBand="0" w:noVBand="1"/>
      </w:tblPr>
      <w:tblGrid>
        <w:gridCol w:w="2965"/>
        <w:gridCol w:w="1709"/>
        <w:gridCol w:w="1801"/>
        <w:gridCol w:w="2875"/>
      </w:tblGrid>
      <w:tr w:rsidR="001E79E8" w:rsidTr="00D24BB7">
        <w:trPr>
          <w:trHeight w:val="530"/>
        </w:trPr>
        <w:tc>
          <w:tcPr>
            <w:tcW w:w="9350" w:type="dxa"/>
            <w:gridSpan w:val="4"/>
            <w:shd w:val="clear" w:color="auto" w:fill="44546A" w:themeFill="text2"/>
            <w:vAlign w:val="center"/>
          </w:tcPr>
          <w:p w:rsidR="001E79E8" w:rsidRPr="000E2209" w:rsidRDefault="001E79E8" w:rsidP="00D24BB7">
            <w:pPr>
              <w:jc w:val="center"/>
              <w:rPr>
                <w:color w:val="FFFFFF" w:themeColor="background1"/>
                <w:sz w:val="32"/>
                <w:szCs w:val="32"/>
              </w:rPr>
            </w:pPr>
            <w:r>
              <w:rPr>
                <w:color w:val="FFFFFF" w:themeColor="background1"/>
                <w:sz w:val="32"/>
                <w:szCs w:val="32"/>
              </w:rPr>
              <w:t>Agency Technology</w:t>
            </w:r>
            <w:r w:rsidR="00976D05">
              <w:rPr>
                <w:color w:val="FFFFFF" w:themeColor="background1"/>
                <w:sz w:val="32"/>
                <w:szCs w:val="32"/>
              </w:rPr>
              <w:t xml:space="preserve"> Portfolio</w:t>
            </w:r>
            <w:r>
              <w:rPr>
                <w:color w:val="FFFFFF" w:themeColor="background1"/>
                <w:sz w:val="32"/>
                <w:szCs w:val="32"/>
              </w:rPr>
              <w:t xml:space="preserve"> Risk Impact</w:t>
            </w:r>
          </w:p>
        </w:tc>
      </w:tr>
      <w:tr w:rsidR="001E79E8" w:rsidTr="000D170F">
        <w:trPr>
          <w:trHeight w:val="440"/>
        </w:trPr>
        <w:tc>
          <w:tcPr>
            <w:tcW w:w="2965" w:type="dxa"/>
            <w:vAlign w:val="center"/>
          </w:tcPr>
          <w:p w:rsidR="001E79E8" w:rsidRDefault="001E79E8" w:rsidP="00D24BB7">
            <w:pPr>
              <w:jc w:val="center"/>
            </w:pPr>
            <w:r>
              <w:t>Mastery</w:t>
            </w:r>
          </w:p>
        </w:tc>
        <w:tc>
          <w:tcPr>
            <w:tcW w:w="1709" w:type="dxa"/>
            <w:vAlign w:val="center"/>
          </w:tcPr>
          <w:p w:rsidR="001E79E8" w:rsidRDefault="001E79E8" w:rsidP="00D24BB7">
            <w:pPr>
              <w:jc w:val="center"/>
            </w:pPr>
            <w:r>
              <w:t>Competent</w:t>
            </w:r>
          </w:p>
        </w:tc>
        <w:tc>
          <w:tcPr>
            <w:tcW w:w="1801" w:type="dxa"/>
            <w:vAlign w:val="center"/>
          </w:tcPr>
          <w:p w:rsidR="001E79E8" w:rsidRDefault="001E79E8" w:rsidP="00D24BB7">
            <w:pPr>
              <w:jc w:val="center"/>
            </w:pPr>
            <w:r>
              <w:t>Adequate</w:t>
            </w:r>
          </w:p>
        </w:tc>
        <w:tc>
          <w:tcPr>
            <w:tcW w:w="2875" w:type="dxa"/>
            <w:vAlign w:val="center"/>
          </w:tcPr>
          <w:p w:rsidR="001E79E8" w:rsidRDefault="001E79E8" w:rsidP="00D24BB7">
            <w:pPr>
              <w:jc w:val="center"/>
            </w:pPr>
            <w:r>
              <w:t>Insufficient</w:t>
            </w:r>
          </w:p>
        </w:tc>
      </w:tr>
      <w:tr w:rsidR="001E79E8" w:rsidTr="000D170F">
        <w:trPr>
          <w:trHeight w:val="890"/>
        </w:trPr>
        <w:tc>
          <w:tcPr>
            <w:tcW w:w="2965" w:type="dxa"/>
            <w:vAlign w:val="center"/>
          </w:tcPr>
          <w:p w:rsidR="001E79E8" w:rsidRDefault="001E79E8" w:rsidP="003F57AB">
            <w:pPr>
              <w:jc w:val="center"/>
            </w:pPr>
            <w:r>
              <w:t xml:space="preserve">Investment demonstrates complete consideration </w:t>
            </w:r>
            <w:r w:rsidR="003F57AB">
              <w:t>of the current state of the agency’s IT Portfolio.</w:t>
            </w:r>
            <w:r>
              <w:t xml:space="preserve"> </w:t>
            </w:r>
            <w:r w:rsidR="003F57AB">
              <w:t>Investment specifically addresses inherent weaknesses within portfolio</w:t>
            </w:r>
            <w:r>
              <w:t>.</w:t>
            </w:r>
            <w:r w:rsidR="000D170F">
              <w:t xml:space="preserve"> Criteria evaluation focuses on how the technology impacts the overall health of the agency’s IT portfolio. </w:t>
            </w:r>
          </w:p>
        </w:tc>
        <w:tc>
          <w:tcPr>
            <w:tcW w:w="1709" w:type="dxa"/>
          </w:tcPr>
          <w:p w:rsidR="001E79E8" w:rsidRDefault="001E79E8" w:rsidP="00D24BB7">
            <w:pPr>
              <w:jc w:val="center"/>
            </w:pPr>
            <w:r>
              <w:t>Mostly aligned with Mastery</w:t>
            </w:r>
          </w:p>
        </w:tc>
        <w:tc>
          <w:tcPr>
            <w:tcW w:w="1801" w:type="dxa"/>
          </w:tcPr>
          <w:p w:rsidR="001E79E8" w:rsidRDefault="001E79E8" w:rsidP="00D24BB7">
            <w:pPr>
              <w:jc w:val="center"/>
            </w:pPr>
            <w:r>
              <w:t>Partially aligned with Mastery</w:t>
            </w:r>
          </w:p>
        </w:tc>
        <w:tc>
          <w:tcPr>
            <w:tcW w:w="2875" w:type="dxa"/>
          </w:tcPr>
          <w:p w:rsidR="001E79E8" w:rsidRDefault="001E79E8" w:rsidP="0043145A">
            <w:pPr>
              <w:jc w:val="center"/>
            </w:pPr>
            <w:r>
              <w:t xml:space="preserve">Investment </w:t>
            </w:r>
            <w:bookmarkStart w:id="0" w:name="_GoBack"/>
            <w:bookmarkEnd w:id="0"/>
            <w:r w:rsidR="003F57AB">
              <w:t>proposes something radically inconsistent with the agency’s existing portfolio and needs</w:t>
            </w:r>
            <w:r>
              <w:t xml:space="preserve">. </w:t>
            </w:r>
            <w:r w:rsidR="003F57AB">
              <w:t>Investment appears to be a ‘one-off’ solution</w:t>
            </w:r>
            <w:r w:rsidR="00A86AAD">
              <w:t xml:space="preserve"> inconsistent with the agency’s IT portfolio</w:t>
            </w:r>
            <w:r w:rsidR="003F57AB">
              <w:t>.</w:t>
            </w:r>
          </w:p>
        </w:tc>
      </w:tr>
    </w:tbl>
    <w:p w:rsidR="00EA61B0" w:rsidRDefault="0043145A" w:rsidP="001E79E8"/>
    <w:tbl>
      <w:tblPr>
        <w:tblStyle w:val="TableGrid"/>
        <w:tblW w:w="0" w:type="auto"/>
        <w:tblLook w:val="04A0" w:firstRow="1" w:lastRow="0" w:firstColumn="1" w:lastColumn="0" w:noHBand="0" w:noVBand="1"/>
      </w:tblPr>
      <w:tblGrid>
        <w:gridCol w:w="2965"/>
        <w:gridCol w:w="1709"/>
        <w:gridCol w:w="1801"/>
        <w:gridCol w:w="2875"/>
      </w:tblGrid>
      <w:tr w:rsidR="003F57AB" w:rsidRPr="000E2209" w:rsidTr="00D24BB7">
        <w:trPr>
          <w:trHeight w:val="530"/>
        </w:trPr>
        <w:tc>
          <w:tcPr>
            <w:tcW w:w="9350" w:type="dxa"/>
            <w:gridSpan w:val="4"/>
            <w:shd w:val="clear" w:color="auto" w:fill="44546A" w:themeFill="text2"/>
            <w:vAlign w:val="center"/>
          </w:tcPr>
          <w:p w:rsidR="003F57AB" w:rsidRPr="000E2209" w:rsidRDefault="003F57AB" w:rsidP="00D24BB7">
            <w:pPr>
              <w:jc w:val="center"/>
              <w:rPr>
                <w:color w:val="FFFFFF" w:themeColor="background1"/>
                <w:sz w:val="32"/>
                <w:szCs w:val="32"/>
              </w:rPr>
            </w:pPr>
            <w:r>
              <w:rPr>
                <w:color w:val="FFFFFF" w:themeColor="background1"/>
                <w:sz w:val="32"/>
                <w:szCs w:val="32"/>
              </w:rPr>
              <w:t>Solution Scale</w:t>
            </w:r>
          </w:p>
        </w:tc>
      </w:tr>
      <w:tr w:rsidR="003F57AB" w:rsidTr="000D170F">
        <w:trPr>
          <w:trHeight w:val="440"/>
        </w:trPr>
        <w:tc>
          <w:tcPr>
            <w:tcW w:w="2965" w:type="dxa"/>
            <w:vAlign w:val="center"/>
          </w:tcPr>
          <w:p w:rsidR="003F57AB" w:rsidRDefault="003F57AB" w:rsidP="00D24BB7">
            <w:pPr>
              <w:jc w:val="center"/>
            </w:pPr>
            <w:r>
              <w:t>Mastery</w:t>
            </w:r>
          </w:p>
        </w:tc>
        <w:tc>
          <w:tcPr>
            <w:tcW w:w="1709" w:type="dxa"/>
            <w:vAlign w:val="center"/>
          </w:tcPr>
          <w:p w:rsidR="003F57AB" w:rsidRDefault="003F57AB" w:rsidP="00D24BB7">
            <w:pPr>
              <w:jc w:val="center"/>
            </w:pPr>
            <w:r>
              <w:t>Competent</w:t>
            </w:r>
          </w:p>
        </w:tc>
        <w:tc>
          <w:tcPr>
            <w:tcW w:w="1801" w:type="dxa"/>
            <w:vAlign w:val="center"/>
          </w:tcPr>
          <w:p w:rsidR="003F57AB" w:rsidRDefault="003F57AB" w:rsidP="00D24BB7">
            <w:pPr>
              <w:jc w:val="center"/>
            </w:pPr>
            <w:r>
              <w:t>Adequate</w:t>
            </w:r>
          </w:p>
        </w:tc>
        <w:tc>
          <w:tcPr>
            <w:tcW w:w="2875" w:type="dxa"/>
            <w:vAlign w:val="center"/>
          </w:tcPr>
          <w:p w:rsidR="003F57AB" w:rsidRDefault="003F57AB" w:rsidP="00D24BB7">
            <w:pPr>
              <w:jc w:val="center"/>
            </w:pPr>
            <w:r>
              <w:t>Insufficient</w:t>
            </w:r>
          </w:p>
        </w:tc>
      </w:tr>
      <w:tr w:rsidR="003F57AB" w:rsidTr="000D170F">
        <w:trPr>
          <w:trHeight w:val="890"/>
        </w:trPr>
        <w:tc>
          <w:tcPr>
            <w:tcW w:w="2965" w:type="dxa"/>
            <w:vAlign w:val="center"/>
          </w:tcPr>
          <w:p w:rsidR="003F57AB" w:rsidRDefault="003F57AB" w:rsidP="003F57AB">
            <w:pPr>
              <w:jc w:val="center"/>
            </w:pPr>
            <w:r>
              <w:t>Investment is appropriate size and scale for the agency’s business needs. The investment addresses the agency’s needs sufficiently and holistically.</w:t>
            </w:r>
            <w:r w:rsidR="000D170F">
              <w:t xml:space="preserve"> Criteria evaluation focuses on how this specific solution is right sized for the agency’s need. </w:t>
            </w:r>
          </w:p>
        </w:tc>
        <w:tc>
          <w:tcPr>
            <w:tcW w:w="1709" w:type="dxa"/>
          </w:tcPr>
          <w:p w:rsidR="003F57AB" w:rsidRDefault="003F57AB" w:rsidP="00D24BB7">
            <w:pPr>
              <w:jc w:val="center"/>
            </w:pPr>
            <w:r>
              <w:t>Mostly aligned with Mastery</w:t>
            </w:r>
          </w:p>
        </w:tc>
        <w:tc>
          <w:tcPr>
            <w:tcW w:w="1801" w:type="dxa"/>
          </w:tcPr>
          <w:p w:rsidR="003F57AB" w:rsidRDefault="003F57AB" w:rsidP="00D24BB7">
            <w:pPr>
              <w:jc w:val="center"/>
            </w:pPr>
            <w:r>
              <w:t>Partially aligned with Mastery</w:t>
            </w:r>
          </w:p>
        </w:tc>
        <w:tc>
          <w:tcPr>
            <w:tcW w:w="2875" w:type="dxa"/>
          </w:tcPr>
          <w:p w:rsidR="003F57AB" w:rsidRDefault="003F57AB" w:rsidP="00A86AAD">
            <w:pPr>
              <w:jc w:val="center"/>
            </w:pPr>
            <w:r>
              <w:t xml:space="preserve">Investment </w:t>
            </w:r>
            <w:r>
              <w:t xml:space="preserve">is the inappropriately sized to address agency need. Investment narrowly targets agency needs </w:t>
            </w:r>
            <w:r w:rsidR="00A86AAD">
              <w:t>and the proposed solution does not serve all areas that would be impacted</w:t>
            </w:r>
            <w:r w:rsidR="00DE0936">
              <w:t xml:space="preserve"> by the investment</w:t>
            </w:r>
            <w:r>
              <w:t xml:space="preserve">. </w:t>
            </w:r>
          </w:p>
        </w:tc>
      </w:tr>
    </w:tbl>
    <w:p w:rsidR="003F57AB" w:rsidRDefault="003F57AB" w:rsidP="003F57AB"/>
    <w:p w:rsidR="003F57AB" w:rsidRDefault="003F57AB" w:rsidP="003F57AB"/>
    <w:p w:rsidR="003F57AB" w:rsidRDefault="003F57AB" w:rsidP="003F57AB"/>
    <w:p w:rsidR="003F57AB" w:rsidRDefault="003F57AB" w:rsidP="003F57AB"/>
    <w:tbl>
      <w:tblPr>
        <w:tblStyle w:val="TableGrid"/>
        <w:tblW w:w="0" w:type="auto"/>
        <w:tblLook w:val="04A0" w:firstRow="1" w:lastRow="0" w:firstColumn="1" w:lastColumn="0" w:noHBand="0" w:noVBand="1"/>
      </w:tblPr>
      <w:tblGrid>
        <w:gridCol w:w="2965"/>
        <w:gridCol w:w="1709"/>
        <w:gridCol w:w="1801"/>
        <w:gridCol w:w="2875"/>
      </w:tblGrid>
      <w:tr w:rsidR="003F57AB" w:rsidRPr="000E2209" w:rsidTr="00D24BB7">
        <w:trPr>
          <w:trHeight w:val="530"/>
        </w:trPr>
        <w:tc>
          <w:tcPr>
            <w:tcW w:w="9350" w:type="dxa"/>
            <w:gridSpan w:val="4"/>
            <w:shd w:val="clear" w:color="auto" w:fill="44546A" w:themeFill="text2"/>
            <w:vAlign w:val="center"/>
          </w:tcPr>
          <w:p w:rsidR="003F57AB" w:rsidRPr="000E2209" w:rsidRDefault="003F57AB" w:rsidP="00D24BB7">
            <w:pPr>
              <w:jc w:val="center"/>
              <w:rPr>
                <w:color w:val="FFFFFF" w:themeColor="background1"/>
                <w:sz w:val="32"/>
                <w:szCs w:val="32"/>
              </w:rPr>
            </w:pPr>
            <w:r>
              <w:rPr>
                <w:color w:val="FFFFFF" w:themeColor="background1"/>
                <w:sz w:val="32"/>
                <w:szCs w:val="32"/>
              </w:rPr>
              <w:lastRenderedPageBreak/>
              <w:t>Resource Availability</w:t>
            </w:r>
          </w:p>
        </w:tc>
      </w:tr>
      <w:tr w:rsidR="003F57AB" w:rsidTr="000D170F">
        <w:trPr>
          <w:trHeight w:val="440"/>
        </w:trPr>
        <w:tc>
          <w:tcPr>
            <w:tcW w:w="2965" w:type="dxa"/>
            <w:vAlign w:val="center"/>
          </w:tcPr>
          <w:p w:rsidR="003F57AB" w:rsidRDefault="003F57AB" w:rsidP="00D24BB7">
            <w:pPr>
              <w:jc w:val="center"/>
            </w:pPr>
            <w:r>
              <w:t>Mastery</w:t>
            </w:r>
          </w:p>
        </w:tc>
        <w:tc>
          <w:tcPr>
            <w:tcW w:w="1709" w:type="dxa"/>
            <w:vAlign w:val="center"/>
          </w:tcPr>
          <w:p w:rsidR="003F57AB" w:rsidRDefault="003F57AB" w:rsidP="00D24BB7">
            <w:pPr>
              <w:jc w:val="center"/>
            </w:pPr>
            <w:r>
              <w:t>Competent</w:t>
            </w:r>
          </w:p>
        </w:tc>
        <w:tc>
          <w:tcPr>
            <w:tcW w:w="1801" w:type="dxa"/>
            <w:vAlign w:val="center"/>
          </w:tcPr>
          <w:p w:rsidR="003F57AB" w:rsidRDefault="003F57AB" w:rsidP="00D24BB7">
            <w:pPr>
              <w:jc w:val="center"/>
            </w:pPr>
            <w:r>
              <w:t>Adequate</w:t>
            </w:r>
          </w:p>
        </w:tc>
        <w:tc>
          <w:tcPr>
            <w:tcW w:w="2875" w:type="dxa"/>
            <w:vAlign w:val="center"/>
          </w:tcPr>
          <w:p w:rsidR="003F57AB" w:rsidRDefault="003F57AB" w:rsidP="00D24BB7">
            <w:pPr>
              <w:jc w:val="center"/>
            </w:pPr>
            <w:r>
              <w:t>Insufficient</w:t>
            </w:r>
          </w:p>
        </w:tc>
      </w:tr>
      <w:tr w:rsidR="003F57AB" w:rsidTr="000D170F">
        <w:trPr>
          <w:trHeight w:val="890"/>
        </w:trPr>
        <w:tc>
          <w:tcPr>
            <w:tcW w:w="2965" w:type="dxa"/>
            <w:vAlign w:val="center"/>
          </w:tcPr>
          <w:p w:rsidR="003F57AB" w:rsidRDefault="003F57AB" w:rsidP="003F57AB">
            <w:pPr>
              <w:jc w:val="center"/>
            </w:pPr>
            <w:r>
              <w:t xml:space="preserve">Investment has completely considered SME availability and resource backfilling. Investment and agency normal business is adequately staffed for </w:t>
            </w:r>
            <w:r>
              <w:t>duration</w:t>
            </w:r>
            <w:r>
              <w:t xml:space="preserve"> of</w:t>
            </w:r>
            <w:r>
              <w:t xml:space="preserve"> </w:t>
            </w:r>
            <w:r>
              <w:t>project.</w:t>
            </w:r>
            <w:r w:rsidR="00DE0936">
              <w:t xml:space="preserve"> Availability of resources includes: project team, SMEs, other technical resources, and backfilled resources.</w:t>
            </w:r>
            <w:r>
              <w:t xml:space="preserve"> </w:t>
            </w:r>
          </w:p>
        </w:tc>
        <w:tc>
          <w:tcPr>
            <w:tcW w:w="1709" w:type="dxa"/>
          </w:tcPr>
          <w:p w:rsidR="003F57AB" w:rsidRDefault="003F57AB" w:rsidP="00D24BB7">
            <w:pPr>
              <w:jc w:val="center"/>
            </w:pPr>
            <w:r>
              <w:t>Mostly aligned with Mastery</w:t>
            </w:r>
          </w:p>
        </w:tc>
        <w:tc>
          <w:tcPr>
            <w:tcW w:w="1801" w:type="dxa"/>
          </w:tcPr>
          <w:p w:rsidR="003F57AB" w:rsidRDefault="003F57AB" w:rsidP="00D24BB7">
            <w:pPr>
              <w:jc w:val="center"/>
            </w:pPr>
            <w:r>
              <w:t>Partially aligned with Mastery</w:t>
            </w:r>
          </w:p>
        </w:tc>
        <w:tc>
          <w:tcPr>
            <w:tcW w:w="2875" w:type="dxa"/>
          </w:tcPr>
          <w:p w:rsidR="003F57AB" w:rsidRDefault="003F57AB" w:rsidP="003F57AB">
            <w:pPr>
              <w:jc w:val="center"/>
            </w:pPr>
            <w:r>
              <w:t xml:space="preserve">Investment has only nominally considered availability of SMEs &amp; resource backfilling. Investment is not adequately staffed for duration of project. </w:t>
            </w:r>
            <w:r>
              <w:t xml:space="preserve"> </w:t>
            </w:r>
          </w:p>
        </w:tc>
      </w:tr>
    </w:tbl>
    <w:p w:rsidR="003F57AB" w:rsidRDefault="003F57AB" w:rsidP="003F57AB"/>
    <w:tbl>
      <w:tblPr>
        <w:tblStyle w:val="TableGrid"/>
        <w:tblW w:w="0" w:type="auto"/>
        <w:tblLook w:val="04A0" w:firstRow="1" w:lastRow="0" w:firstColumn="1" w:lastColumn="0" w:noHBand="0" w:noVBand="1"/>
      </w:tblPr>
      <w:tblGrid>
        <w:gridCol w:w="2965"/>
        <w:gridCol w:w="1709"/>
        <w:gridCol w:w="1801"/>
        <w:gridCol w:w="2875"/>
      </w:tblGrid>
      <w:tr w:rsidR="003F57AB" w:rsidRPr="000E2209" w:rsidTr="00D24BB7">
        <w:trPr>
          <w:trHeight w:val="530"/>
        </w:trPr>
        <w:tc>
          <w:tcPr>
            <w:tcW w:w="9350" w:type="dxa"/>
            <w:gridSpan w:val="4"/>
            <w:shd w:val="clear" w:color="auto" w:fill="44546A" w:themeFill="text2"/>
            <w:vAlign w:val="center"/>
          </w:tcPr>
          <w:p w:rsidR="003F57AB" w:rsidRPr="000E2209" w:rsidRDefault="003F57AB" w:rsidP="00D24BB7">
            <w:pPr>
              <w:jc w:val="center"/>
              <w:rPr>
                <w:color w:val="FFFFFF" w:themeColor="background1"/>
                <w:sz w:val="32"/>
                <w:szCs w:val="32"/>
              </w:rPr>
            </w:pPr>
            <w:r>
              <w:rPr>
                <w:color w:val="FFFFFF" w:themeColor="background1"/>
                <w:sz w:val="32"/>
                <w:szCs w:val="32"/>
              </w:rPr>
              <w:t>Investment Urgency</w:t>
            </w:r>
          </w:p>
        </w:tc>
      </w:tr>
      <w:tr w:rsidR="003F57AB" w:rsidTr="000D170F">
        <w:trPr>
          <w:trHeight w:val="440"/>
        </w:trPr>
        <w:tc>
          <w:tcPr>
            <w:tcW w:w="2965" w:type="dxa"/>
            <w:vAlign w:val="center"/>
          </w:tcPr>
          <w:p w:rsidR="003F57AB" w:rsidRDefault="003F57AB" w:rsidP="00D24BB7">
            <w:pPr>
              <w:jc w:val="center"/>
            </w:pPr>
            <w:r>
              <w:t>Mastery</w:t>
            </w:r>
          </w:p>
        </w:tc>
        <w:tc>
          <w:tcPr>
            <w:tcW w:w="1709" w:type="dxa"/>
            <w:vAlign w:val="center"/>
          </w:tcPr>
          <w:p w:rsidR="003F57AB" w:rsidRDefault="003F57AB" w:rsidP="00D24BB7">
            <w:pPr>
              <w:jc w:val="center"/>
            </w:pPr>
            <w:r>
              <w:t>Competent</w:t>
            </w:r>
          </w:p>
        </w:tc>
        <w:tc>
          <w:tcPr>
            <w:tcW w:w="1801" w:type="dxa"/>
            <w:vAlign w:val="center"/>
          </w:tcPr>
          <w:p w:rsidR="003F57AB" w:rsidRDefault="003F57AB" w:rsidP="00D24BB7">
            <w:pPr>
              <w:jc w:val="center"/>
            </w:pPr>
            <w:r>
              <w:t>Adequate</w:t>
            </w:r>
          </w:p>
        </w:tc>
        <w:tc>
          <w:tcPr>
            <w:tcW w:w="2875" w:type="dxa"/>
            <w:vAlign w:val="center"/>
          </w:tcPr>
          <w:p w:rsidR="003F57AB" w:rsidRDefault="003F57AB" w:rsidP="00D24BB7">
            <w:pPr>
              <w:jc w:val="center"/>
            </w:pPr>
            <w:r>
              <w:t>Insufficient</w:t>
            </w:r>
          </w:p>
        </w:tc>
      </w:tr>
      <w:tr w:rsidR="003F57AB" w:rsidTr="000D170F">
        <w:trPr>
          <w:trHeight w:val="890"/>
        </w:trPr>
        <w:tc>
          <w:tcPr>
            <w:tcW w:w="2965" w:type="dxa"/>
            <w:vAlign w:val="center"/>
          </w:tcPr>
          <w:p w:rsidR="003F57AB" w:rsidRDefault="003F57AB" w:rsidP="00DE0936">
            <w:pPr>
              <w:jc w:val="center"/>
            </w:pPr>
            <w:r>
              <w:t>Investment addresses a currently unmet</w:t>
            </w:r>
            <w:r w:rsidR="00DE0936">
              <w:t>, time sensitive</w:t>
            </w:r>
            <w:r>
              <w:t xml:space="preserve"> legal mandate or addresses audit findings </w:t>
            </w:r>
            <w:r w:rsidR="00DE0936">
              <w:t>requiring urgent action</w:t>
            </w:r>
            <w:r>
              <w:t>.</w:t>
            </w:r>
            <w:r w:rsidR="00DE0936">
              <w:t xml:space="preserve"> </w:t>
            </w:r>
            <w:r>
              <w:t xml:space="preserve"> </w:t>
            </w:r>
          </w:p>
        </w:tc>
        <w:tc>
          <w:tcPr>
            <w:tcW w:w="1709" w:type="dxa"/>
            <w:vAlign w:val="center"/>
          </w:tcPr>
          <w:p w:rsidR="003F57AB" w:rsidRDefault="001B5CB9" w:rsidP="001B5CB9">
            <w:pPr>
              <w:jc w:val="center"/>
            </w:pPr>
            <w:r>
              <w:t>Investment addresses imminent failure of a system</w:t>
            </w:r>
            <w:r w:rsidR="00DE0936">
              <w:t xml:space="preserve"> or infrastructure</w:t>
            </w:r>
            <w:r>
              <w:t xml:space="preserve"> and will assuage that issue.</w:t>
            </w:r>
          </w:p>
        </w:tc>
        <w:tc>
          <w:tcPr>
            <w:tcW w:w="1801" w:type="dxa"/>
            <w:vAlign w:val="center"/>
          </w:tcPr>
          <w:p w:rsidR="003F57AB" w:rsidRDefault="001B5CB9" w:rsidP="001B5CB9">
            <w:pPr>
              <w:jc w:val="center"/>
            </w:pPr>
            <w:r>
              <w:t xml:space="preserve">Investment addresses an agency’s technical debt of aging systems and provides an opportunity for modernization. </w:t>
            </w:r>
          </w:p>
        </w:tc>
        <w:tc>
          <w:tcPr>
            <w:tcW w:w="2875" w:type="dxa"/>
          </w:tcPr>
          <w:p w:rsidR="003F57AB" w:rsidRDefault="001B5CB9" w:rsidP="00D24BB7">
            <w:pPr>
              <w:jc w:val="center"/>
            </w:pPr>
            <w:r>
              <w:t xml:space="preserve">Investment provides an opportunity to improve services, but does not introduce new capability or address imminent risks. </w:t>
            </w:r>
          </w:p>
        </w:tc>
      </w:tr>
    </w:tbl>
    <w:p w:rsidR="001B5CB9" w:rsidRDefault="001B5CB9" w:rsidP="003F57AB"/>
    <w:tbl>
      <w:tblPr>
        <w:tblStyle w:val="TableGrid"/>
        <w:tblW w:w="0" w:type="auto"/>
        <w:tblLook w:val="04A0" w:firstRow="1" w:lastRow="0" w:firstColumn="1" w:lastColumn="0" w:noHBand="0" w:noVBand="1"/>
      </w:tblPr>
      <w:tblGrid>
        <w:gridCol w:w="2965"/>
        <w:gridCol w:w="1709"/>
        <w:gridCol w:w="1801"/>
        <w:gridCol w:w="2875"/>
      </w:tblGrid>
      <w:tr w:rsidR="001B5CB9" w:rsidRPr="000E2209" w:rsidTr="00D24BB7">
        <w:trPr>
          <w:trHeight w:val="530"/>
        </w:trPr>
        <w:tc>
          <w:tcPr>
            <w:tcW w:w="9350" w:type="dxa"/>
            <w:gridSpan w:val="4"/>
            <w:shd w:val="clear" w:color="auto" w:fill="44546A" w:themeFill="text2"/>
            <w:vAlign w:val="center"/>
          </w:tcPr>
          <w:p w:rsidR="001B5CB9" w:rsidRPr="000E2209" w:rsidRDefault="001B5CB9" w:rsidP="00D24BB7">
            <w:pPr>
              <w:jc w:val="center"/>
              <w:rPr>
                <w:color w:val="FFFFFF" w:themeColor="background1"/>
                <w:sz w:val="32"/>
                <w:szCs w:val="32"/>
              </w:rPr>
            </w:pPr>
            <w:r>
              <w:rPr>
                <w:color w:val="FFFFFF" w:themeColor="background1"/>
                <w:sz w:val="32"/>
                <w:szCs w:val="32"/>
              </w:rPr>
              <w:t>Strategic Alignment</w:t>
            </w:r>
          </w:p>
        </w:tc>
      </w:tr>
      <w:tr w:rsidR="001B5CB9" w:rsidTr="000D170F">
        <w:trPr>
          <w:trHeight w:val="440"/>
        </w:trPr>
        <w:tc>
          <w:tcPr>
            <w:tcW w:w="2965" w:type="dxa"/>
            <w:vAlign w:val="center"/>
          </w:tcPr>
          <w:p w:rsidR="001B5CB9" w:rsidRDefault="001B5CB9" w:rsidP="00D24BB7">
            <w:pPr>
              <w:jc w:val="center"/>
            </w:pPr>
            <w:r>
              <w:t>Mastery</w:t>
            </w:r>
          </w:p>
        </w:tc>
        <w:tc>
          <w:tcPr>
            <w:tcW w:w="1709" w:type="dxa"/>
            <w:vAlign w:val="center"/>
          </w:tcPr>
          <w:p w:rsidR="001B5CB9" w:rsidRDefault="001B5CB9" w:rsidP="00D24BB7">
            <w:pPr>
              <w:jc w:val="center"/>
            </w:pPr>
            <w:r>
              <w:t>Competent</w:t>
            </w:r>
          </w:p>
        </w:tc>
        <w:tc>
          <w:tcPr>
            <w:tcW w:w="1801" w:type="dxa"/>
            <w:vAlign w:val="center"/>
          </w:tcPr>
          <w:p w:rsidR="001B5CB9" w:rsidRDefault="001B5CB9" w:rsidP="00D24BB7">
            <w:pPr>
              <w:jc w:val="center"/>
            </w:pPr>
            <w:r>
              <w:t>Adequate</w:t>
            </w:r>
          </w:p>
        </w:tc>
        <w:tc>
          <w:tcPr>
            <w:tcW w:w="2875" w:type="dxa"/>
            <w:vAlign w:val="center"/>
          </w:tcPr>
          <w:p w:rsidR="001B5CB9" w:rsidRDefault="001B5CB9" w:rsidP="00D24BB7">
            <w:pPr>
              <w:jc w:val="center"/>
            </w:pPr>
            <w:r>
              <w:t>Insufficient</w:t>
            </w:r>
          </w:p>
        </w:tc>
      </w:tr>
      <w:tr w:rsidR="001B5CB9" w:rsidTr="000D170F">
        <w:trPr>
          <w:trHeight w:val="890"/>
        </w:trPr>
        <w:tc>
          <w:tcPr>
            <w:tcW w:w="2965" w:type="dxa"/>
            <w:vAlign w:val="center"/>
          </w:tcPr>
          <w:p w:rsidR="001B5CB9" w:rsidRDefault="001B5CB9" w:rsidP="001B5CB9">
            <w:pPr>
              <w:jc w:val="center"/>
            </w:pPr>
            <w:r>
              <w:t>Investment incorporates multiple elements of state strategic</w:t>
            </w:r>
            <w:r>
              <w:t xml:space="preserve"> </w:t>
            </w:r>
            <w:r>
              <w:t xml:space="preserve">vision, including but not limited to: modular implementation methods, ‘buy don’t build,’ LEAN process improvements, early value delivery, and accessibility. Investment was arrived at using data driven methods and proposed solution is strategically consistent with State vision. </w:t>
            </w:r>
          </w:p>
        </w:tc>
        <w:tc>
          <w:tcPr>
            <w:tcW w:w="1709" w:type="dxa"/>
          </w:tcPr>
          <w:p w:rsidR="001B5CB9" w:rsidRDefault="001B5CB9" w:rsidP="001B5CB9">
            <w:pPr>
              <w:jc w:val="center"/>
            </w:pPr>
            <w:r>
              <w:t>Mostly aligned with Mastery</w:t>
            </w:r>
          </w:p>
        </w:tc>
        <w:tc>
          <w:tcPr>
            <w:tcW w:w="1801" w:type="dxa"/>
          </w:tcPr>
          <w:p w:rsidR="001B5CB9" w:rsidRDefault="001B5CB9" w:rsidP="001B5CB9">
            <w:pPr>
              <w:jc w:val="center"/>
            </w:pPr>
            <w:r>
              <w:t>Partially aligned with Mastery</w:t>
            </w:r>
          </w:p>
        </w:tc>
        <w:tc>
          <w:tcPr>
            <w:tcW w:w="2875" w:type="dxa"/>
          </w:tcPr>
          <w:p w:rsidR="001B5CB9" w:rsidRDefault="001B5CB9" w:rsidP="001B5CB9">
            <w:pPr>
              <w:jc w:val="center"/>
            </w:pPr>
            <w:r>
              <w:t xml:space="preserve">Investment </w:t>
            </w:r>
            <w:r>
              <w:t xml:space="preserve">is inconsistent with elements of the state strategic vision and does not incorporate the state’s strategic values. </w:t>
            </w:r>
          </w:p>
        </w:tc>
      </w:tr>
    </w:tbl>
    <w:p w:rsidR="00BE3539" w:rsidRPr="00BE3539" w:rsidRDefault="00BE3539" w:rsidP="00BE3539"/>
    <w:tbl>
      <w:tblPr>
        <w:tblStyle w:val="TableGrid"/>
        <w:tblW w:w="0" w:type="auto"/>
        <w:tblLook w:val="04A0" w:firstRow="1" w:lastRow="0" w:firstColumn="1" w:lastColumn="0" w:noHBand="0" w:noVBand="1"/>
      </w:tblPr>
      <w:tblGrid>
        <w:gridCol w:w="2965"/>
        <w:gridCol w:w="1709"/>
        <w:gridCol w:w="1801"/>
        <w:gridCol w:w="2875"/>
      </w:tblGrid>
      <w:tr w:rsidR="00BE3539" w:rsidRPr="000E2209" w:rsidTr="00D24BB7">
        <w:trPr>
          <w:trHeight w:val="530"/>
        </w:trPr>
        <w:tc>
          <w:tcPr>
            <w:tcW w:w="9350" w:type="dxa"/>
            <w:gridSpan w:val="4"/>
            <w:shd w:val="clear" w:color="auto" w:fill="44546A" w:themeFill="text2"/>
            <w:vAlign w:val="center"/>
          </w:tcPr>
          <w:p w:rsidR="00BE3539" w:rsidRPr="000E2209" w:rsidRDefault="00BE3539" w:rsidP="00D24BB7">
            <w:pPr>
              <w:jc w:val="center"/>
              <w:rPr>
                <w:color w:val="FFFFFF" w:themeColor="background1"/>
                <w:sz w:val="32"/>
                <w:szCs w:val="32"/>
              </w:rPr>
            </w:pPr>
            <w:r>
              <w:rPr>
                <w:color w:val="FFFFFF" w:themeColor="background1"/>
                <w:sz w:val="32"/>
                <w:szCs w:val="32"/>
              </w:rPr>
              <w:lastRenderedPageBreak/>
              <w:t>Technical Alignment</w:t>
            </w:r>
          </w:p>
        </w:tc>
      </w:tr>
      <w:tr w:rsidR="00BE3539" w:rsidTr="000D170F">
        <w:trPr>
          <w:trHeight w:val="440"/>
        </w:trPr>
        <w:tc>
          <w:tcPr>
            <w:tcW w:w="2965" w:type="dxa"/>
            <w:vAlign w:val="center"/>
          </w:tcPr>
          <w:p w:rsidR="00BE3539" w:rsidRDefault="00BE3539" w:rsidP="00D24BB7">
            <w:pPr>
              <w:jc w:val="center"/>
            </w:pPr>
            <w:r>
              <w:t>Mastery</w:t>
            </w:r>
          </w:p>
        </w:tc>
        <w:tc>
          <w:tcPr>
            <w:tcW w:w="1709" w:type="dxa"/>
            <w:vAlign w:val="center"/>
          </w:tcPr>
          <w:p w:rsidR="00BE3539" w:rsidRDefault="00BE3539" w:rsidP="00D24BB7">
            <w:pPr>
              <w:jc w:val="center"/>
            </w:pPr>
            <w:r>
              <w:t>Competent</w:t>
            </w:r>
          </w:p>
        </w:tc>
        <w:tc>
          <w:tcPr>
            <w:tcW w:w="1801" w:type="dxa"/>
            <w:vAlign w:val="center"/>
          </w:tcPr>
          <w:p w:rsidR="00BE3539" w:rsidRDefault="00BE3539" w:rsidP="00D24BB7">
            <w:pPr>
              <w:jc w:val="center"/>
            </w:pPr>
            <w:r>
              <w:t>Adequate</w:t>
            </w:r>
          </w:p>
        </w:tc>
        <w:tc>
          <w:tcPr>
            <w:tcW w:w="2875" w:type="dxa"/>
            <w:vAlign w:val="center"/>
          </w:tcPr>
          <w:p w:rsidR="00BE3539" w:rsidRDefault="00BE3539" w:rsidP="00D24BB7">
            <w:pPr>
              <w:jc w:val="center"/>
            </w:pPr>
            <w:r>
              <w:t>Insufficient</w:t>
            </w:r>
          </w:p>
        </w:tc>
      </w:tr>
      <w:tr w:rsidR="00BE3539" w:rsidTr="000D170F">
        <w:trPr>
          <w:trHeight w:val="890"/>
        </w:trPr>
        <w:tc>
          <w:tcPr>
            <w:tcW w:w="2965" w:type="dxa"/>
            <w:vAlign w:val="center"/>
          </w:tcPr>
          <w:p w:rsidR="00BE3539" w:rsidRDefault="00BE3539" w:rsidP="00D24BB7">
            <w:pPr>
              <w:jc w:val="center"/>
            </w:pPr>
            <w:r>
              <w:t>Investment incorporates multiple elements of state technical vision, including but not limited to: data minimization, security principles, publishing open data, mobile solutions, modern hosting technologies</w:t>
            </w:r>
            <w:r w:rsidR="00DE0936">
              <w:t xml:space="preserve"> such as cloud</w:t>
            </w:r>
            <w:r>
              <w:t xml:space="preserve">, and configuration over customization. Proposed solution is technically consistent with State vision. </w:t>
            </w:r>
          </w:p>
        </w:tc>
        <w:tc>
          <w:tcPr>
            <w:tcW w:w="1709" w:type="dxa"/>
          </w:tcPr>
          <w:p w:rsidR="00BE3539" w:rsidRDefault="00BE3539" w:rsidP="00D24BB7">
            <w:pPr>
              <w:jc w:val="center"/>
            </w:pPr>
            <w:r>
              <w:t>Mostly aligned with Mastery</w:t>
            </w:r>
          </w:p>
        </w:tc>
        <w:tc>
          <w:tcPr>
            <w:tcW w:w="1801" w:type="dxa"/>
          </w:tcPr>
          <w:p w:rsidR="00BE3539" w:rsidRDefault="00BE3539" w:rsidP="00D24BB7">
            <w:pPr>
              <w:jc w:val="center"/>
            </w:pPr>
            <w:r>
              <w:t>Partially aligned with Mastery</w:t>
            </w:r>
          </w:p>
        </w:tc>
        <w:tc>
          <w:tcPr>
            <w:tcW w:w="2875" w:type="dxa"/>
          </w:tcPr>
          <w:p w:rsidR="00BE3539" w:rsidRDefault="00BE3539" w:rsidP="00D24BB7">
            <w:pPr>
              <w:jc w:val="center"/>
            </w:pPr>
            <w:r>
              <w:t xml:space="preserve">Investment is inconsistent with elements of the state technical vision and does not incorporate the state’s technical values. </w:t>
            </w:r>
          </w:p>
        </w:tc>
      </w:tr>
    </w:tbl>
    <w:p w:rsidR="00BE3539" w:rsidRDefault="00BE3539" w:rsidP="00BE3539"/>
    <w:tbl>
      <w:tblPr>
        <w:tblStyle w:val="TableGrid"/>
        <w:tblW w:w="0" w:type="auto"/>
        <w:tblLook w:val="04A0" w:firstRow="1" w:lastRow="0" w:firstColumn="1" w:lastColumn="0" w:noHBand="0" w:noVBand="1"/>
      </w:tblPr>
      <w:tblGrid>
        <w:gridCol w:w="2965"/>
        <w:gridCol w:w="1709"/>
        <w:gridCol w:w="1801"/>
        <w:gridCol w:w="2875"/>
      </w:tblGrid>
      <w:tr w:rsidR="00BE3539" w:rsidRPr="000E2209" w:rsidTr="00D24BB7">
        <w:trPr>
          <w:trHeight w:val="530"/>
        </w:trPr>
        <w:tc>
          <w:tcPr>
            <w:tcW w:w="9350" w:type="dxa"/>
            <w:gridSpan w:val="4"/>
            <w:shd w:val="clear" w:color="auto" w:fill="44546A" w:themeFill="text2"/>
            <w:vAlign w:val="center"/>
          </w:tcPr>
          <w:p w:rsidR="00BE3539" w:rsidRPr="000E2209" w:rsidRDefault="00BE3539" w:rsidP="00D24BB7">
            <w:pPr>
              <w:jc w:val="center"/>
              <w:rPr>
                <w:color w:val="FFFFFF" w:themeColor="background1"/>
                <w:sz w:val="32"/>
                <w:szCs w:val="32"/>
              </w:rPr>
            </w:pPr>
            <w:r>
              <w:rPr>
                <w:color w:val="FFFFFF" w:themeColor="background1"/>
                <w:sz w:val="32"/>
                <w:szCs w:val="32"/>
              </w:rPr>
              <w:t>Governance Processes</w:t>
            </w:r>
          </w:p>
        </w:tc>
      </w:tr>
      <w:tr w:rsidR="00BE3539" w:rsidTr="000D170F">
        <w:trPr>
          <w:trHeight w:val="440"/>
        </w:trPr>
        <w:tc>
          <w:tcPr>
            <w:tcW w:w="2965" w:type="dxa"/>
            <w:vAlign w:val="center"/>
          </w:tcPr>
          <w:p w:rsidR="00BE3539" w:rsidRDefault="00BE3539" w:rsidP="00D24BB7">
            <w:pPr>
              <w:jc w:val="center"/>
            </w:pPr>
            <w:r>
              <w:t>Mastery</w:t>
            </w:r>
          </w:p>
        </w:tc>
        <w:tc>
          <w:tcPr>
            <w:tcW w:w="1709" w:type="dxa"/>
            <w:vAlign w:val="center"/>
          </w:tcPr>
          <w:p w:rsidR="00BE3539" w:rsidRDefault="00BE3539" w:rsidP="00D24BB7">
            <w:pPr>
              <w:jc w:val="center"/>
            </w:pPr>
            <w:r>
              <w:t>Competent</w:t>
            </w:r>
          </w:p>
        </w:tc>
        <w:tc>
          <w:tcPr>
            <w:tcW w:w="1801" w:type="dxa"/>
            <w:vAlign w:val="center"/>
          </w:tcPr>
          <w:p w:rsidR="00BE3539" w:rsidRDefault="00BE3539" w:rsidP="00D24BB7">
            <w:pPr>
              <w:jc w:val="center"/>
            </w:pPr>
            <w:r>
              <w:t>Adequate</w:t>
            </w:r>
          </w:p>
        </w:tc>
        <w:tc>
          <w:tcPr>
            <w:tcW w:w="2875" w:type="dxa"/>
            <w:vAlign w:val="center"/>
          </w:tcPr>
          <w:p w:rsidR="00BE3539" w:rsidRDefault="00BE3539" w:rsidP="00D24BB7">
            <w:pPr>
              <w:jc w:val="center"/>
            </w:pPr>
            <w:r>
              <w:t>Insufficient</w:t>
            </w:r>
          </w:p>
        </w:tc>
      </w:tr>
      <w:tr w:rsidR="00BE3539" w:rsidTr="000D170F">
        <w:trPr>
          <w:trHeight w:val="890"/>
        </w:trPr>
        <w:tc>
          <w:tcPr>
            <w:tcW w:w="2965" w:type="dxa"/>
            <w:vAlign w:val="center"/>
          </w:tcPr>
          <w:p w:rsidR="00BE3539" w:rsidRDefault="00BE3539" w:rsidP="00DE0936">
            <w:pPr>
              <w:jc w:val="center"/>
            </w:pPr>
            <w:r>
              <w:t>Agency has existing governance processes in place or is introducing new ones to accommodate this investment. Processes include multiple of the following elements: executive sponsorship, steering committees, vendor management, contract management, change control, QA, IV&amp;V</w:t>
            </w:r>
            <w:r w:rsidR="00DE0936">
              <w:t>, and stakeholder representation processes.</w:t>
            </w:r>
          </w:p>
        </w:tc>
        <w:tc>
          <w:tcPr>
            <w:tcW w:w="1709" w:type="dxa"/>
          </w:tcPr>
          <w:p w:rsidR="00BE3539" w:rsidRDefault="00BE3539" w:rsidP="00D24BB7">
            <w:pPr>
              <w:jc w:val="center"/>
            </w:pPr>
            <w:r>
              <w:t>Mostly aligned with Mastery</w:t>
            </w:r>
          </w:p>
        </w:tc>
        <w:tc>
          <w:tcPr>
            <w:tcW w:w="1801" w:type="dxa"/>
          </w:tcPr>
          <w:p w:rsidR="00BE3539" w:rsidRDefault="00BE3539" w:rsidP="00D24BB7">
            <w:pPr>
              <w:jc w:val="center"/>
            </w:pPr>
            <w:r>
              <w:t>Partially aligned with Mastery</w:t>
            </w:r>
          </w:p>
        </w:tc>
        <w:tc>
          <w:tcPr>
            <w:tcW w:w="2875" w:type="dxa"/>
          </w:tcPr>
          <w:p w:rsidR="00BE3539" w:rsidRDefault="00BE3539" w:rsidP="00D24BB7">
            <w:pPr>
              <w:jc w:val="center"/>
            </w:pPr>
            <w:r>
              <w:t>Agency does not have adequate existing governance processes and has only nominally considered incorporating them in to this investment</w:t>
            </w:r>
            <w:r>
              <w:t xml:space="preserve">. </w:t>
            </w:r>
          </w:p>
        </w:tc>
      </w:tr>
    </w:tbl>
    <w:p w:rsidR="003F57AB" w:rsidRDefault="003F57AB" w:rsidP="00BE3539"/>
    <w:tbl>
      <w:tblPr>
        <w:tblStyle w:val="TableGrid"/>
        <w:tblW w:w="0" w:type="auto"/>
        <w:tblLook w:val="04A0" w:firstRow="1" w:lastRow="0" w:firstColumn="1" w:lastColumn="0" w:noHBand="0" w:noVBand="1"/>
      </w:tblPr>
      <w:tblGrid>
        <w:gridCol w:w="2965"/>
        <w:gridCol w:w="1709"/>
        <w:gridCol w:w="1801"/>
        <w:gridCol w:w="2875"/>
      </w:tblGrid>
      <w:tr w:rsidR="00BE3539" w:rsidRPr="000E2209" w:rsidTr="00D24BB7">
        <w:trPr>
          <w:trHeight w:val="530"/>
        </w:trPr>
        <w:tc>
          <w:tcPr>
            <w:tcW w:w="9350" w:type="dxa"/>
            <w:gridSpan w:val="4"/>
            <w:shd w:val="clear" w:color="auto" w:fill="44546A" w:themeFill="text2"/>
            <w:vAlign w:val="center"/>
          </w:tcPr>
          <w:p w:rsidR="00BE3539" w:rsidRPr="000E2209" w:rsidRDefault="00DE0936" w:rsidP="00D24BB7">
            <w:pPr>
              <w:jc w:val="center"/>
              <w:rPr>
                <w:color w:val="FFFFFF" w:themeColor="background1"/>
                <w:sz w:val="32"/>
                <w:szCs w:val="32"/>
              </w:rPr>
            </w:pPr>
            <w:r>
              <w:rPr>
                <w:color w:val="FFFFFF" w:themeColor="background1"/>
                <w:sz w:val="32"/>
                <w:szCs w:val="32"/>
              </w:rPr>
              <w:t xml:space="preserve">Interoperability, Interfaces, and </w:t>
            </w:r>
            <w:r w:rsidR="00BE3539">
              <w:rPr>
                <w:color w:val="FFFFFF" w:themeColor="background1"/>
                <w:sz w:val="32"/>
                <w:szCs w:val="32"/>
              </w:rPr>
              <w:t>Reuse</w:t>
            </w:r>
          </w:p>
        </w:tc>
      </w:tr>
      <w:tr w:rsidR="00BE3539" w:rsidTr="000D170F">
        <w:trPr>
          <w:trHeight w:val="440"/>
        </w:trPr>
        <w:tc>
          <w:tcPr>
            <w:tcW w:w="2965" w:type="dxa"/>
            <w:vAlign w:val="center"/>
          </w:tcPr>
          <w:p w:rsidR="00BE3539" w:rsidRDefault="00BE3539" w:rsidP="00D24BB7">
            <w:pPr>
              <w:jc w:val="center"/>
            </w:pPr>
            <w:r>
              <w:t>Mastery</w:t>
            </w:r>
          </w:p>
        </w:tc>
        <w:tc>
          <w:tcPr>
            <w:tcW w:w="1709" w:type="dxa"/>
            <w:vAlign w:val="center"/>
          </w:tcPr>
          <w:p w:rsidR="00BE3539" w:rsidRDefault="00BE3539" w:rsidP="00D24BB7">
            <w:pPr>
              <w:jc w:val="center"/>
            </w:pPr>
            <w:r>
              <w:t>Competent</w:t>
            </w:r>
          </w:p>
        </w:tc>
        <w:tc>
          <w:tcPr>
            <w:tcW w:w="1801" w:type="dxa"/>
            <w:vAlign w:val="center"/>
          </w:tcPr>
          <w:p w:rsidR="00BE3539" w:rsidRDefault="00BE3539" w:rsidP="00D24BB7">
            <w:pPr>
              <w:jc w:val="center"/>
            </w:pPr>
            <w:r>
              <w:t>Adequate</w:t>
            </w:r>
          </w:p>
        </w:tc>
        <w:tc>
          <w:tcPr>
            <w:tcW w:w="2875" w:type="dxa"/>
            <w:vAlign w:val="center"/>
          </w:tcPr>
          <w:p w:rsidR="00BE3539" w:rsidRDefault="00BE3539" w:rsidP="00D24BB7">
            <w:pPr>
              <w:jc w:val="center"/>
            </w:pPr>
            <w:r>
              <w:t>Insufficient</w:t>
            </w:r>
          </w:p>
        </w:tc>
      </w:tr>
      <w:tr w:rsidR="00BE3539" w:rsidTr="000D170F">
        <w:trPr>
          <w:trHeight w:val="890"/>
        </w:trPr>
        <w:tc>
          <w:tcPr>
            <w:tcW w:w="2965" w:type="dxa"/>
            <w:vAlign w:val="center"/>
          </w:tcPr>
          <w:p w:rsidR="00BE3539" w:rsidRDefault="00BE3539" w:rsidP="00C179E5">
            <w:pPr>
              <w:jc w:val="center"/>
            </w:pPr>
            <w:r>
              <w:t>Investment interoperates with existing systems to improve effic</w:t>
            </w:r>
            <w:r w:rsidR="00DE0936">
              <w:t xml:space="preserve">iency, </w:t>
            </w:r>
            <w:r>
              <w:t>reuses components in use today</w:t>
            </w:r>
            <w:r w:rsidR="00DE0936">
              <w:t>, or creates new reusable components</w:t>
            </w:r>
            <w:r>
              <w:t>.</w:t>
            </w:r>
            <w:r w:rsidR="00DE0936">
              <w:t xml:space="preserve"> Utilizes interfaces with state </w:t>
            </w:r>
            <w:r w:rsidR="00C179E5">
              <w:t xml:space="preserve">solution </w:t>
            </w:r>
            <w:r w:rsidR="00DE0936">
              <w:t>(e.g. identity management).</w:t>
            </w:r>
          </w:p>
        </w:tc>
        <w:tc>
          <w:tcPr>
            <w:tcW w:w="1709" w:type="dxa"/>
          </w:tcPr>
          <w:p w:rsidR="00BE3539" w:rsidRDefault="00BE3539" w:rsidP="00D24BB7">
            <w:pPr>
              <w:jc w:val="center"/>
            </w:pPr>
            <w:r>
              <w:t>Mostly aligned with Mastery</w:t>
            </w:r>
          </w:p>
        </w:tc>
        <w:tc>
          <w:tcPr>
            <w:tcW w:w="1801" w:type="dxa"/>
          </w:tcPr>
          <w:p w:rsidR="00BE3539" w:rsidRDefault="00BE3539" w:rsidP="00D24BB7">
            <w:pPr>
              <w:jc w:val="center"/>
            </w:pPr>
            <w:r>
              <w:t>Partially aligned with Mastery</w:t>
            </w:r>
          </w:p>
        </w:tc>
        <w:tc>
          <w:tcPr>
            <w:tcW w:w="2875" w:type="dxa"/>
          </w:tcPr>
          <w:p w:rsidR="00BE3539" w:rsidRDefault="00BE3539" w:rsidP="00BE3539">
            <w:pPr>
              <w:jc w:val="center"/>
            </w:pPr>
            <w:r>
              <w:t xml:space="preserve">Investment proposes a standalone, isolated solution that can’t be reused. </w:t>
            </w:r>
          </w:p>
        </w:tc>
      </w:tr>
    </w:tbl>
    <w:tbl>
      <w:tblPr>
        <w:tblStyle w:val="TableGrid"/>
        <w:tblpPr w:leftFromText="180" w:rightFromText="180" w:vertAnchor="text" w:horzAnchor="margin" w:tblpY="28"/>
        <w:tblW w:w="0" w:type="auto"/>
        <w:tblLook w:val="04A0" w:firstRow="1" w:lastRow="0" w:firstColumn="1" w:lastColumn="0" w:noHBand="0" w:noVBand="1"/>
      </w:tblPr>
      <w:tblGrid>
        <w:gridCol w:w="2965"/>
        <w:gridCol w:w="1709"/>
        <w:gridCol w:w="1801"/>
        <w:gridCol w:w="2875"/>
      </w:tblGrid>
      <w:tr w:rsidR="00356530" w:rsidRPr="000E2209" w:rsidTr="00356530">
        <w:trPr>
          <w:trHeight w:val="530"/>
        </w:trPr>
        <w:tc>
          <w:tcPr>
            <w:tcW w:w="9350" w:type="dxa"/>
            <w:gridSpan w:val="4"/>
            <w:shd w:val="clear" w:color="auto" w:fill="44546A" w:themeFill="text2"/>
            <w:vAlign w:val="center"/>
          </w:tcPr>
          <w:p w:rsidR="00356530" w:rsidRPr="000E2209" w:rsidRDefault="00356530" w:rsidP="00356530">
            <w:pPr>
              <w:jc w:val="center"/>
              <w:rPr>
                <w:color w:val="FFFFFF" w:themeColor="background1"/>
                <w:sz w:val="32"/>
                <w:szCs w:val="32"/>
              </w:rPr>
            </w:pPr>
            <w:r>
              <w:rPr>
                <w:color w:val="FFFFFF" w:themeColor="background1"/>
                <w:sz w:val="32"/>
                <w:szCs w:val="32"/>
              </w:rPr>
              <w:t xml:space="preserve">Measurable Business </w:t>
            </w:r>
            <w:r w:rsidR="00C96691">
              <w:rPr>
                <w:color w:val="FFFFFF" w:themeColor="background1"/>
                <w:sz w:val="32"/>
                <w:szCs w:val="32"/>
              </w:rPr>
              <w:t xml:space="preserve">Case </w:t>
            </w:r>
            <w:r>
              <w:rPr>
                <w:color w:val="FFFFFF" w:themeColor="background1"/>
                <w:sz w:val="32"/>
                <w:szCs w:val="32"/>
              </w:rPr>
              <w:t>Outcomes</w:t>
            </w:r>
          </w:p>
        </w:tc>
      </w:tr>
      <w:tr w:rsidR="00356530" w:rsidTr="000D170F">
        <w:trPr>
          <w:trHeight w:val="440"/>
        </w:trPr>
        <w:tc>
          <w:tcPr>
            <w:tcW w:w="2965" w:type="dxa"/>
            <w:vAlign w:val="center"/>
          </w:tcPr>
          <w:p w:rsidR="00356530" w:rsidRDefault="00356530" w:rsidP="00356530">
            <w:pPr>
              <w:jc w:val="center"/>
            </w:pPr>
            <w:r>
              <w:t>Mastery</w:t>
            </w:r>
          </w:p>
        </w:tc>
        <w:tc>
          <w:tcPr>
            <w:tcW w:w="1709" w:type="dxa"/>
            <w:vAlign w:val="center"/>
          </w:tcPr>
          <w:p w:rsidR="00356530" w:rsidRDefault="00356530" w:rsidP="00356530">
            <w:pPr>
              <w:jc w:val="center"/>
            </w:pPr>
            <w:r>
              <w:t>Competent</w:t>
            </w:r>
          </w:p>
        </w:tc>
        <w:tc>
          <w:tcPr>
            <w:tcW w:w="1801" w:type="dxa"/>
            <w:vAlign w:val="center"/>
          </w:tcPr>
          <w:p w:rsidR="00356530" w:rsidRDefault="00356530" w:rsidP="00356530">
            <w:pPr>
              <w:jc w:val="center"/>
            </w:pPr>
            <w:r>
              <w:t>Adequate</w:t>
            </w:r>
          </w:p>
        </w:tc>
        <w:tc>
          <w:tcPr>
            <w:tcW w:w="2875" w:type="dxa"/>
            <w:vAlign w:val="center"/>
          </w:tcPr>
          <w:p w:rsidR="00356530" w:rsidRDefault="00356530" w:rsidP="00356530">
            <w:pPr>
              <w:jc w:val="center"/>
            </w:pPr>
            <w:r>
              <w:t>Insufficient</w:t>
            </w:r>
          </w:p>
        </w:tc>
      </w:tr>
      <w:tr w:rsidR="00356530" w:rsidTr="000D170F">
        <w:trPr>
          <w:trHeight w:val="890"/>
        </w:trPr>
        <w:tc>
          <w:tcPr>
            <w:tcW w:w="2965" w:type="dxa"/>
            <w:vAlign w:val="center"/>
          </w:tcPr>
          <w:p w:rsidR="00356530" w:rsidRDefault="00356530" w:rsidP="00356530">
            <w:pPr>
              <w:jc w:val="center"/>
            </w:pPr>
            <w:r>
              <w:t xml:space="preserve">This investment provides measurable business outcomes that will be improved as a direct result of this investment. Specific examples </w:t>
            </w:r>
            <w:r w:rsidR="00C96691">
              <w:t xml:space="preserve">of business case improvements </w:t>
            </w:r>
            <w:r>
              <w:t xml:space="preserve">are provided (i.e. reduces wait times by x). Investment is consistent with the agency’s internal strategic plan and direction. </w:t>
            </w:r>
          </w:p>
        </w:tc>
        <w:tc>
          <w:tcPr>
            <w:tcW w:w="1709" w:type="dxa"/>
          </w:tcPr>
          <w:p w:rsidR="00356530" w:rsidRDefault="00356530" w:rsidP="00356530">
            <w:pPr>
              <w:jc w:val="center"/>
            </w:pPr>
            <w:r>
              <w:t>Mostly aligned with Mastery, including examples</w:t>
            </w:r>
          </w:p>
        </w:tc>
        <w:tc>
          <w:tcPr>
            <w:tcW w:w="1801" w:type="dxa"/>
          </w:tcPr>
          <w:p w:rsidR="00356530" w:rsidRDefault="00356530" w:rsidP="00356530">
            <w:pPr>
              <w:jc w:val="center"/>
            </w:pPr>
            <w:r>
              <w:t>Partially aligned with Mastery, no examples</w:t>
            </w:r>
          </w:p>
        </w:tc>
        <w:tc>
          <w:tcPr>
            <w:tcW w:w="2875" w:type="dxa"/>
          </w:tcPr>
          <w:p w:rsidR="00356530" w:rsidRDefault="00356530" w:rsidP="00356530">
            <w:pPr>
              <w:jc w:val="center"/>
            </w:pPr>
            <w:r>
              <w:t xml:space="preserve">Investment does not incorporate any information on how this will improve agency’s business outcomes. Investment does not cohere with agency strategy. </w:t>
            </w:r>
          </w:p>
        </w:tc>
      </w:tr>
    </w:tbl>
    <w:p w:rsidR="00356530" w:rsidRDefault="00356530" w:rsidP="00BE3539"/>
    <w:tbl>
      <w:tblPr>
        <w:tblStyle w:val="TableGrid"/>
        <w:tblpPr w:leftFromText="180" w:rightFromText="180" w:vertAnchor="text" w:horzAnchor="margin" w:tblpY="28"/>
        <w:tblW w:w="0" w:type="auto"/>
        <w:tblLook w:val="04A0" w:firstRow="1" w:lastRow="0" w:firstColumn="1" w:lastColumn="0" w:noHBand="0" w:noVBand="1"/>
      </w:tblPr>
      <w:tblGrid>
        <w:gridCol w:w="2965"/>
        <w:gridCol w:w="1709"/>
        <w:gridCol w:w="1801"/>
        <w:gridCol w:w="2875"/>
      </w:tblGrid>
      <w:tr w:rsidR="00356530" w:rsidRPr="000E2209" w:rsidTr="00D24BB7">
        <w:trPr>
          <w:trHeight w:val="530"/>
        </w:trPr>
        <w:tc>
          <w:tcPr>
            <w:tcW w:w="9350" w:type="dxa"/>
            <w:gridSpan w:val="4"/>
            <w:shd w:val="clear" w:color="auto" w:fill="44546A" w:themeFill="text2"/>
            <w:vAlign w:val="center"/>
          </w:tcPr>
          <w:p w:rsidR="00356530" w:rsidRPr="000E2209" w:rsidRDefault="00356530" w:rsidP="00D24BB7">
            <w:pPr>
              <w:jc w:val="center"/>
              <w:rPr>
                <w:color w:val="FFFFFF" w:themeColor="background1"/>
                <w:sz w:val="32"/>
                <w:szCs w:val="32"/>
              </w:rPr>
            </w:pPr>
            <w:r>
              <w:rPr>
                <w:color w:val="FFFFFF" w:themeColor="background1"/>
                <w:sz w:val="32"/>
                <w:szCs w:val="32"/>
              </w:rPr>
              <w:t>Customer Centered Technology</w:t>
            </w:r>
          </w:p>
        </w:tc>
      </w:tr>
      <w:tr w:rsidR="00356530" w:rsidTr="000D170F">
        <w:trPr>
          <w:trHeight w:val="440"/>
        </w:trPr>
        <w:tc>
          <w:tcPr>
            <w:tcW w:w="2965" w:type="dxa"/>
            <w:vAlign w:val="center"/>
          </w:tcPr>
          <w:p w:rsidR="00356530" w:rsidRDefault="00356530" w:rsidP="00D24BB7">
            <w:pPr>
              <w:jc w:val="center"/>
            </w:pPr>
            <w:r>
              <w:t>Mastery</w:t>
            </w:r>
          </w:p>
        </w:tc>
        <w:tc>
          <w:tcPr>
            <w:tcW w:w="1709" w:type="dxa"/>
            <w:vAlign w:val="center"/>
          </w:tcPr>
          <w:p w:rsidR="00356530" w:rsidRDefault="00356530" w:rsidP="00D24BB7">
            <w:pPr>
              <w:jc w:val="center"/>
            </w:pPr>
            <w:r>
              <w:t>Competent</w:t>
            </w:r>
          </w:p>
        </w:tc>
        <w:tc>
          <w:tcPr>
            <w:tcW w:w="1801" w:type="dxa"/>
            <w:vAlign w:val="center"/>
          </w:tcPr>
          <w:p w:rsidR="00356530" w:rsidRDefault="00356530" w:rsidP="00D24BB7">
            <w:pPr>
              <w:jc w:val="center"/>
            </w:pPr>
            <w:r>
              <w:t>Adequate</w:t>
            </w:r>
          </w:p>
        </w:tc>
        <w:tc>
          <w:tcPr>
            <w:tcW w:w="2875" w:type="dxa"/>
            <w:vAlign w:val="center"/>
          </w:tcPr>
          <w:p w:rsidR="00356530" w:rsidRDefault="00356530" w:rsidP="00D24BB7">
            <w:pPr>
              <w:jc w:val="center"/>
            </w:pPr>
            <w:r>
              <w:t>Insufficient</w:t>
            </w:r>
          </w:p>
        </w:tc>
      </w:tr>
      <w:tr w:rsidR="00356530" w:rsidTr="000D170F">
        <w:trPr>
          <w:trHeight w:val="890"/>
        </w:trPr>
        <w:tc>
          <w:tcPr>
            <w:tcW w:w="2965" w:type="dxa"/>
            <w:vAlign w:val="center"/>
          </w:tcPr>
          <w:p w:rsidR="00356530" w:rsidRDefault="00356530" w:rsidP="00D24BB7">
            <w:pPr>
              <w:jc w:val="center"/>
            </w:pPr>
            <w:r>
              <w:t>Investment is focused on providing customer value. For public services, the citizen experience is primary. For agency investments, provides tangible benefits to agency users. Investment plan includes customer stakeholdering and addresses methods to incorporate user experience/feedback.</w:t>
            </w:r>
            <w:r>
              <w:t xml:space="preserve"> </w:t>
            </w:r>
          </w:p>
        </w:tc>
        <w:tc>
          <w:tcPr>
            <w:tcW w:w="1709" w:type="dxa"/>
          </w:tcPr>
          <w:p w:rsidR="00356530" w:rsidRDefault="00356530" w:rsidP="00D24BB7">
            <w:pPr>
              <w:jc w:val="center"/>
            </w:pPr>
            <w:r>
              <w:t>Mostly aligned with Mastery, including examples</w:t>
            </w:r>
          </w:p>
        </w:tc>
        <w:tc>
          <w:tcPr>
            <w:tcW w:w="1801" w:type="dxa"/>
          </w:tcPr>
          <w:p w:rsidR="00356530" w:rsidRDefault="00356530" w:rsidP="00D24BB7">
            <w:pPr>
              <w:jc w:val="center"/>
            </w:pPr>
            <w:r>
              <w:t>Partially aligned with Mastery, no examples</w:t>
            </w:r>
          </w:p>
        </w:tc>
        <w:tc>
          <w:tcPr>
            <w:tcW w:w="2875" w:type="dxa"/>
          </w:tcPr>
          <w:p w:rsidR="00356530" w:rsidRDefault="00356530" w:rsidP="00D24BB7">
            <w:pPr>
              <w:jc w:val="center"/>
            </w:pPr>
            <w:r>
              <w:t xml:space="preserve">Investment is being implemented in isolation from customers and end users. There is no demonstrated plan for incorporating citizen or customer feedback. </w:t>
            </w:r>
            <w:r>
              <w:t xml:space="preserve"> </w:t>
            </w:r>
          </w:p>
        </w:tc>
      </w:tr>
    </w:tbl>
    <w:p w:rsidR="00356530" w:rsidRDefault="00356530" w:rsidP="00356530"/>
    <w:tbl>
      <w:tblPr>
        <w:tblStyle w:val="TableGrid"/>
        <w:tblpPr w:leftFromText="180" w:rightFromText="180" w:vertAnchor="text" w:horzAnchor="margin" w:tblpY="28"/>
        <w:tblW w:w="0" w:type="auto"/>
        <w:tblLook w:val="04A0" w:firstRow="1" w:lastRow="0" w:firstColumn="1" w:lastColumn="0" w:noHBand="0" w:noVBand="1"/>
      </w:tblPr>
      <w:tblGrid>
        <w:gridCol w:w="2965"/>
        <w:gridCol w:w="1709"/>
        <w:gridCol w:w="1801"/>
        <w:gridCol w:w="2875"/>
      </w:tblGrid>
      <w:tr w:rsidR="00356530" w:rsidRPr="000E2209" w:rsidTr="00D24BB7">
        <w:trPr>
          <w:trHeight w:val="530"/>
        </w:trPr>
        <w:tc>
          <w:tcPr>
            <w:tcW w:w="9350" w:type="dxa"/>
            <w:gridSpan w:val="4"/>
            <w:shd w:val="clear" w:color="auto" w:fill="44546A" w:themeFill="text2"/>
            <w:vAlign w:val="center"/>
          </w:tcPr>
          <w:p w:rsidR="00356530" w:rsidRPr="000E2209" w:rsidRDefault="00C96691" w:rsidP="00D24BB7">
            <w:pPr>
              <w:jc w:val="center"/>
              <w:rPr>
                <w:color w:val="FFFFFF" w:themeColor="background1"/>
                <w:sz w:val="32"/>
                <w:szCs w:val="32"/>
              </w:rPr>
            </w:pPr>
            <w:r>
              <w:rPr>
                <w:color w:val="FFFFFF" w:themeColor="background1"/>
                <w:sz w:val="32"/>
                <w:szCs w:val="32"/>
              </w:rPr>
              <w:t>Business Process Improvement</w:t>
            </w:r>
          </w:p>
        </w:tc>
      </w:tr>
      <w:tr w:rsidR="00356530" w:rsidTr="000D170F">
        <w:trPr>
          <w:trHeight w:val="440"/>
        </w:trPr>
        <w:tc>
          <w:tcPr>
            <w:tcW w:w="2965" w:type="dxa"/>
            <w:vAlign w:val="center"/>
          </w:tcPr>
          <w:p w:rsidR="00356530" w:rsidRDefault="00356530" w:rsidP="00D24BB7">
            <w:pPr>
              <w:jc w:val="center"/>
            </w:pPr>
            <w:r>
              <w:t>Mastery</w:t>
            </w:r>
          </w:p>
        </w:tc>
        <w:tc>
          <w:tcPr>
            <w:tcW w:w="1709" w:type="dxa"/>
            <w:vAlign w:val="center"/>
          </w:tcPr>
          <w:p w:rsidR="00356530" w:rsidRDefault="00356530" w:rsidP="00D24BB7">
            <w:pPr>
              <w:jc w:val="center"/>
            </w:pPr>
            <w:r>
              <w:t>Competent</w:t>
            </w:r>
          </w:p>
        </w:tc>
        <w:tc>
          <w:tcPr>
            <w:tcW w:w="1801" w:type="dxa"/>
            <w:vAlign w:val="center"/>
          </w:tcPr>
          <w:p w:rsidR="00356530" w:rsidRDefault="00356530" w:rsidP="00D24BB7">
            <w:pPr>
              <w:jc w:val="center"/>
            </w:pPr>
            <w:r>
              <w:t>Adequate</w:t>
            </w:r>
          </w:p>
        </w:tc>
        <w:tc>
          <w:tcPr>
            <w:tcW w:w="2875" w:type="dxa"/>
            <w:vAlign w:val="center"/>
          </w:tcPr>
          <w:p w:rsidR="00356530" w:rsidRDefault="00356530" w:rsidP="00D24BB7">
            <w:pPr>
              <w:jc w:val="center"/>
            </w:pPr>
            <w:r>
              <w:t>Insufficient</w:t>
            </w:r>
          </w:p>
        </w:tc>
      </w:tr>
      <w:tr w:rsidR="00356530" w:rsidTr="000D170F">
        <w:trPr>
          <w:trHeight w:val="2145"/>
        </w:trPr>
        <w:tc>
          <w:tcPr>
            <w:tcW w:w="2965" w:type="dxa"/>
            <w:vAlign w:val="center"/>
          </w:tcPr>
          <w:p w:rsidR="00356530" w:rsidRDefault="00356530" w:rsidP="00D24BB7">
            <w:pPr>
              <w:jc w:val="center"/>
            </w:pPr>
            <w:r>
              <w:t xml:space="preserve">Investment implementation is being driven by business processes and integrated with this technology. If public facing, citizen interaction with business process is improved as a result of this investment. </w:t>
            </w:r>
            <w:r w:rsidR="00C96691">
              <w:t>Solution supports and/or improves existing business processes.</w:t>
            </w:r>
            <w:r>
              <w:t xml:space="preserve"> </w:t>
            </w:r>
          </w:p>
        </w:tc>
        <w:tc>
          <w:tcPr>
            <w:tcW w:w="1709" w:type="dxa"/>
          </w:tcPr>
          <w:p w:rsidR="00356530" w:rsidRDefault="00356530" w:rsidP="00C96691">
            <w:pPr>
              <w:jc w:val="center"/>
            </w:pPr>
            <w:r>
              <w:t>Mostly aligned with Mastery</w:t>
            </w:r>
          </w:p>
        </w:tc>
        <w:tc>
          <w:tcPr>
            <w:tcW w:w="1801" w:type="dxa"/>
          </w:tcPr>
          <w:p w:rsidR="00356530" w:rsidRDefault="00356530" w:rsidP="00C96691">
            <w:pPr>
              <w:jc w:val="center"/>
            </w:pPr>
            <w:r>
              <w:t>Partially aligned with Mastery</w:t>
            </w:r>
          </w:p>
        </w:tc>
        <w:tc>
          <w:tcPr>
            <w:tcW w:w="2875" w:type="dxa"/>
          </w:tcPr>
          <w:p w:rsidR="00356530" w:rsidRDefault="00356530" w:rsidP="00D24BB7">
            <w:pPr>
              <w:jc w:val="center"/>
            </w:pPr>
            <w:r>
              <w:t>Investment implementation is nominally considering business processes and their integration with technology. Investment has no relationship with an agency’s business processes.</w:t>
            </w:r>
            <w:r>
              <w:t xml:space="preserve">  </w:t>
            </w:r>
            <w:r w:rsidR="008218E2">
              <w:t xml:space="preserve">Agency is thinking ‘tool first’ to solve business problems. </w:t>
            </w:r>
          </w:p>
        </w:tc>
      </w:tr>
    </w:tbl>
    <w:p w:rsidR="00356530" w:rsidRPr="00356530" w:rsidRDefault="00356530" w:rsidP="00356530"/>
    <w:sectPr w:rsidR="00356530" w:rsidRPr="003565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530" w:rsidRDefault="00356530" w:rsidP="00356530">
      <w:pPr>
        <w:spacing w:after="0" w:line="240" w:lineRule="auto"/>
      </w:pPr>
      <w:r>
        <w:separator/>
      </w:r>
    </w:p>
  </w:endnote>
  <w:endnote w:type="continuationSeparator" w:id="0">
    <w:p w:rsidR="00356530" w:rsidRDefault="00356530" w:rsidP="0035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530" w:rsidRDefault="003565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530" w:rsidRDefault="003565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530" w:rsidRDefault="00356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530" w:rsidRDefault="00356530" w:rsidP="00356530">
      <w:pPr>
        <w:spacing w:after="0" w:line="240" w:lineRule="auto"/>
      </w:pPr>
      <w:r>
        <w:separator/>
      </w:r>
    </w:p>
  </w:footnote>
  <w:footnote w:type="continuationSeparator" w:id="0">
    <w:p w:rsidR="00356530" w:rsidRDefault="00356530" w:rsidP="00356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530" w:rsidRDefault="003565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530" w:rsidRPr="00356530" w:rsidRDefault="00356530" w:rsidP="00356530">
    <w:pPr>
      <w:pStyle w:val="Header"/>
      <w:jc w:val="center"/>
      <w:rPr>
        <w:b/>
        <w:sz w:val="32"/>
        <w:szCs w:val="32"/>
      </w:rPr>
    </w:pPr>
    <w:sdt>
      <w:sdtPr>
        <w:rPr>
          <w:b/>
          <w:sz w:val="32"/>
          <w:szCs w:val="32"/>
        </w:rPr>
        <w:id w:val="895947753"/>
        <w:docPartObj>
          <w:docPartGallery w:val="Watermarks"/>
          <w:docPartUnique/>
        </w:docPartObj>
      </w:sdtPr>
      <w:sdtContent>
        <w:r w:rsidRPr="00356530">
          <w:rPr>
            <w:b/>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356530">
      <w:rPr>
        <w:b/>
        <w:sz w:val="32"/>
        <w:szCs w:val="32"/>
      </w:rPr>
      <w:t>19-21 Biennium DP Scoring Scale</w:t>
    </w:r>
  </w:p>
  <w:p w:rsidR="00356530" w:rsidRDefault="003565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530" w:rsidRDefault="00356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09"/>
    <w:rsid w:val="000D170F"/>
    <w:rsid w:val="000E2209"/>
    <w:rsid w:val="001B5CB9"/>
    <w:rsid w:val="001E79E8"/>
    <w:rsid w:val="00296D17"/>
    <w:rsid w:val="0032131B"/>
    <w:rsid w:val="00336739"/>
    <w:rsid w:val="00356530"/>
    <w:rsid w:val="003F57AB"/>
    <w:rsid w:val="0043145A"/>
    <w:rsid w:val="00452244"/>
    <w:rsid w:val="008218E2"/>
    <w:rsid w:val="00954BF0"/>
    <w:rsid w:val="00976D05"/>
    <w:rsid w:val="00A86AAD"/>
    <w:rsid w:val="00BE3539"/>
    <w:rsid w:val="00C179E5"/>
    <w:rsid w:val="00C96691"/>
    <w:rsid w:val="00DE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60FB81B-431A-4993-AF6F-9E8A10C8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209"/>
    <w:rPr>
      <w:rFonts w:ascii="Segoe UI" w:hAnsi="Segoe UI" w:cs="Segoe UI"/>
      <w:sz w:val="18"/>
      <w:szCs w:val="18"/>
    </w:rPr>
  </w:style>
  <w:style w:type="paragraph" w:styleId="Header">
    <w:name w:val="header"/>
    <w:basedOn w:val="Normal"/>
    <w:link w:val="HeaderChar"/>
    <w:uiPriority w:val="99"/>
    <w:unhideWhenUsed/>
    <w:rsid w:val="00356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530"/>
  </w:style>
  <w:style w:type="paragraph" w:styleId="Footer">
    <w:name w:val="footer"/>
    <w:basedOn w:val="Normal"/>
    <w:link w:val="FooterChar"/>
    <w:uiPriority w:val="99"/>
    <w:unhideWhenUsed/>
    <w:rsid w:val="00356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09"/>
    <w:rsid w:val="009F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88989A98FE4BF38CCD27DDB5C39A96">
    <w:name w:val="6488989A98FE4BF38CCD27DDB5C39A96"/>
    <w:rsid w:val="009F1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Puckett, Derek (OCIO)</dc:creator>
  <cp:keywords/>
  <dc:description/>
  <cp:lastModifiedBy>Puckett, Derek (OCIO)</cp:lastModifiedBy>
  <cp:revision>6</cp:revision>
  <cp:lastPrinted>2018-04-03T15:10:00Z</cp:lastPrinted>
  <dcterms:created xsi:type="dcterms:W3CDTF">2018-04-05T21:29:00Z</dcterms:created>
  <dcterms:modified xsi:type="dcterms:W3CDTF">2018-04-05T22:47:00Z</dcterms:modified>
</cp:coreProperties>
</file>