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912D7" w14:textId="77777777" w:rsidR="005E7D6E" w:rsidRPr="006C3E42" w:rsidRDefault="00BC215D" w:rsidP="0058770B">
      <w:pPr>
        <w:pStyle w:val="Title"/>
        <w:rPr>
          <w:rFonts w:asciiTheme="minorHAnsi" w:hAnsiTheme="minorHAnsi" w:cstheme="minorHAnsi"/>
        </w:rPr>
      </w:pPr>
      <w:r w:rsidRPr="006C3E42">
        <w:rPr>
          <w:rFonts w:asciiTheme="minorHAnsi" w:hAnsiTheme="minorHAnsi" w:cstheme="minorHAnsi"/>
        </w:rPr>
        <w:t xml:space="preserve">Policy &amp; Standard </w:t>
      </w:r>
      <w:r w:rsidR="0058770B" w:rsidRPr="006C3E42">
        <w:rPr>
          <w:rFonts w:asciiTheme="minorHAnsi" w:hAnsiTheme="minorHAnsi" w:cstheme="minorHAnsi"/>
        </w:rPr>
        <w:t>Background</w:t>
      </w:r>
    </w:p>
    <w:tbl>
      <w:tblPr>
        <w:tblStyle w:val="GridTable1Light-Accent1"/>
        <w:tblW w:w="0" w:type="auto"/>
        <w:tblLook w:val="04A0" w:firstRow="1" w:lastRow="0" w:firstColumn="1" w:lastColumn="0" w:noHBand="0" w:noVBand="1"/>
      </w:tblPr>
      <w:tblGrid>
        <w:gridCol w:w="9350"/>
      </w:tblGrid>
      <w:tr w:rsidR="00D0381F" w:rsidRPr="006C3E42" w14:paraId="0CBD899C" w14:textId="77777777" w:rsidTr="00185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C4A2FD" w14:textId="023667B7" w:rsidR="00D0381F" w:rsidRPr="006C3E42" w:rsidRDefault="002352C3" w:rsidP="001856CB">
            <w:pPr>
              <w:pStyle w:val="Heading1"/>
              <w:outlineLvl w:val="0"/>
              <w:rPr>
                <w:rFonts w:asciiTheme="minorHAnsi" w:eastAsiaTheme="minorHAnsi" w:hAnsiTheme="minorHAnsi" w:cstheme="minorHAnsi"/>
                <w:color w:val="auto"/>
                <w:sz w:val="22"/>
                <w:szCs w:val="22"/>
              </w:rPr>
            </w:pPr>
            <w:r w:rsidRPr="006C3E42">
              <w:rPr>
                <w:rFonts w:asciiTheme="minorHAnsi" w:hAnsiTheme="minorHAnsi" w:cstheme="minorHAnsi"/>
              </w:rPr>
              <w:t xml:space="preserve">Name: </w:t>
            </w:r>
            <w:r w:rsidR="000867DB" w:rsidRPr="006C3E42">
              <w:rPr>
                <w:rFonts w:asciiTheme="minorHAnsi" w:eastAsiaTheme="minorHAnsi" w:hAnsiTheme="minorHAnsi" w:cstheme="minorHAnsi"/>
                <w:color w:val="auto"/>
                <w:sz w:val="22"/>
                <w:szCs w:val="22"/>
              </w:rPr>
              <w:t>Standard 18</w:t>
            </w:r>
            <w:r w:rsidR="00A95FA8" w:rsidRPr="006C3E42">
              <w:rPr>
                <w:rFonts w:asciiTheme="minorHAnsi" w:eastAsiaTheme="minorHAnsi" w:hAnsiTheme="minorHAnsi" w:cstheme="minorHAnsi"/>
                <w:color w:val="auto"/>
                <w:sz w:val="22"/>
                <w:szCs w:val="22"/>
              </w:rPr>
              <w:t>2</w:t>
            </w:r>
            <w:r w:rsidR="000867DB" w:rsidRPr="006C3E42">
              <w:rPr>
                <w:rFonts w:asciiTheme="minorHAnsi" w:eastAsiaTheme="minorHAnsi" w:hAnsiTheme="minorHAnsi" w:cstheme="minorHAnsi"/>
                <w:color w:val="auto"/>
                <w:sz w:val="22"/>
                <w:szCs w:val="22"/>
              </w:rPr>
              <w:t>.20.10</w:t>
            </w:r>
            <w:r w:rsidR="00E7399F" w:rsidRPr="006C3E42">
              <w:rPr>
                <w:rFonts w:asciiTheme="minorHAnsi" w:eastAsiaTheme="minorHAnsi" w:hAnsiTheme="minorHAnsi" w:cstheme="minorHAnsi"/>
                <w:color w:val="auto"/>
                <w:sz w:val="22"/>
                <w:szCs w:val="22"/>
              </w:rPr>
              <w:t xml:space="preserve"> – </w:t>
            </w:r>
            <w:r w:rsidR="000867DB" w:rsidRPr="006C3E42">
              <w:rPr>
                <w:rFonts w:asciiTheme="minorHAnsi" w:eastAsiaTheme="minorHAnsi" w:hAnsiTheme="minorHAnsi" w:cstheme="minorHAnsi"/>
                <w:color w:val="auto"/>
                <w:sz w:val="22"/>
                <w:szCs w:val="22"/>
              </w:rPr>
              <w:t xml:space="preserve">Email </w:t>
            </w:r>
            <w:r w:rsidR="00A95FA8" w:rsidRPr="006C3E42">
              <w:rPr>
                <w:rFonts w:asciiTheme="minorHAnsi" w:eastAsiaTheme="minorHAnsi" w:hAnsiTheme="minorHAnsi" w:cstheme="minorHAnsi"/>
                <w:color w:val="auto"/>
                <w:sz w:val="22"/>
                <w:szCs w:val="22"/>
              </w:rPr>
              <w:t xml:space="preserve">Address </w:t>
            </w:r>
            <w:r w:rsidR="000867DB" w:rsidRPr="006C3E42">
              <w:rPr>
                <w:rFonts w:asciiTheme="minorHAnsi" w:eastAsiaTheme="minorHAnsi" w:hAnsiTheme="minorHAnsi" w:cstheme="minorHAnsi"/>
                <w:color w:val="auto"/>
                <w:sz w:val="22"/>
                <w:szCs w:val="22"/>
              </w:rPr>
              <w:t>Naming Standard</w:t>
            </w:r>
            <w:r w:rsidR="00A95FA8" w:rsidRPr="006C3E42">
              <w:rPr>
                <w:rFonts w:asciiTheme="minorHAnsi" w:eastAsiaTheme="minorHAnsi" w:hAnsiTheme="minorHAnsi" w:cstheme="minorHAnsi"/>
                <w:color w:val="auto"/>
                <w:sz w:val="22"/>
                <w:szCs w:val="22"/>
              </w:rPr>
              <w:t>s</w:t>
            </w:r>
          </w:p>
          <w:p w14:paraId="46AD986E" w14:textId="77777777" w:rsidR="00D0381F" w:rsidRPr="006C3E42" w:rsidRDefault="00D0381F">
            <w:pPr>
              <w:rPr>
                <w:rFonts w:cstheme="minorHAnsi"/>
              </w:rPr>
            </w:pPr>
          </w:p>
        </w:tc>
      </w:tr>
      <w:tr w:rsidR="001856CB" w:rsidRPr="006C3E42" w14:paraId="75E511F3" w14:textId="77777777" w:rsidTr="00633549">
        <w:tc>
          <w:tcPr>
            <w:cnfStyle w:val="001000000000" w:firstRow="0" w:lastRow="0" w:firstColumn="1" w:lastColumn="0" w:oddVBand="0" w:evenVBand="0" w:oddHBand="0" w:evenHBand="0" w:firstRowFirstColumn="0" w:firstRowLastColumn="0" w:lastRowFirstColumn="0" w:lastRowLastColumn="0"/>
            <w:tcW w:w="9350" w:type="dxa"/>
          </w:tcPr>
          <w:p w14:paraId="0017285B" w14:textId="0DE2C1E1" w:rsidR="00033899" w:rsidRPr="00E700E4" w:rsidRDefault="002352C3" w:rsidP="00033899">
            <w:pPr>
              <w:pStyle w:val="ListParagraph"/>
              <w:numPr>
                <w:ilvl w:val="0"/>
                <w:numId w:val="6"/>
              </w:numPr>
              <w:spacing w:before="120"/>
              <w:rPr>
                <w:rFonts w:eastAsiaTheme="minorEastAsia" w:cstheme="minorHAnsi"/>
                <w:b w:val="0"/>
                <w:bCs w:val="0"/>
                <w:color w:val="343434"/>
                <w:lang w:val="en"/>
              </w:rPr>
            </w:pPr>
            <w:r w:rsidRPr="00E700E4">
              <w:rPr>
                <w:rFonts w:cstheme="minorHAnsi"/>
                <w:b w:val="0"/>
                <w:bCs w:val="0"/>
              </w:rPr>
              <w:t xml:space="preserve">Purpose of Action: </w:t>
            </w:r>
            <w:r w:rsidR="007B4ED5" w:rsidRPr="00E700E4">
              <w:rPr>
                <w:rFonts w:cstheme="minorHAnsi"/>
                <w:b w:val="0"/>
                <w:bCs w:val="0"/>
              </w:rPr>
              <w:t xml:space="preserve"> </w:t>
            </w:r>
            <w:r w:rsidR="001B045B" w:rsidRPr="00E700E4">
              <w:rPr>
                <w:rFonts w:cstheme="minorHAnsi"/>
                <w:b w:val="0"/>
                <w:bCs w:val="0"/>
              </w:rPr>
              <w:t>This standard combines the current email naming standard and guideline to promote standardization across</w:t>
            </w:r>
            <w:r w:rsidR="009D2D57">
              <w:rPr>
                <w:rFonts w:cstheme="minorHAnsi"/>
                <w:b w:val="0"/>
                <w:bCs w:val="0"/>
              </w:rPr>
              <w:t xml:space="preserve"> the</w:t>
            </w:r>
            <w:r w:rsidR="001B045B" w:rsidRPr="00E700E4">
              <w:rPr>
                <w:rFonts w:cstheme="minorHAnsi"/>
                <w:b w:val="0"/>
                <w:bCs w:val="0"/>
              </w:rPr>
              <w:t xml:space="preserve"> state </w:t>
            </w:r>
            <w:r w:rsidR="00033899" w:rsidRPr="00E700E4">
              <w:rPr>
                <w:rFonts w:cstheme="minorHAnsi"/>
                <w:b w:val="0"/>
                <w:bCs w:val="0"/>
              </w:rPr>
              <w:t xml:space="preserve">. Specifically </w:t>
            </w:r>
            <w:r w:rsidR="005B5B49" w:rsidRPr="00E700E4">
              <w:rPr>
                <w:rFonts w:cstheme="minorHAnsi"/>
                <w:b w:val="0"/>
                <w:bCs w:val="0"/>
              </w:rPr>
              <w:t>t</w:t>
            </w:r>
            <w:r w:rsidR="005B5B49" w:rsidRPr="00E700E4">
              <w:rPr>
                <w:rFonts w:eastAsiaTheme="minorEastAsia" w:cstheme="minorHAnsi"/>
                <w:b w:val="0"/>
                <w:bCs w:val="0"/>
                <w:color w:val="343434"/>
                <w:lang w:val="en"/>
              </w:rPr>
              <w:t>his</w:t>
            </w:r>
            <w:r w:rsidR="00033899" w:rsidRPr="00E700E4">
              <w:rPr>
                <w:rFonts w:eastAsiaTheme="minorEastAsia" w:cstheme="minorHAnsi"/>
                <w:b w:val="0"/>
                <w:bCs w:val="0"/>
                <w:color w:val="343434"/>
                <w:lang w:val="en"/>
              </w:rPr>
              <w:t xml:space="preserve"> standard establishes common E-mail address naming conventions for employee E-mail aliases including the Session Initiation Protocol (SIP) and the User Principle Name (UPN), and  the Simple Mail Transfer Protocol (SMTP). </w:t>
            </w:r>
          </w:p>
          <w:p w14:paraId="5E54CA63" w14:textId="1373C86F" w:rsidR="001856CB" w:rsidRPr="00E700E4" w:rsidRDefault="001B045B" w:rsidP="001856CB">
            <w:pPr>
              <w:pStyle w:val="Heading1"/>
              <w:outlineLvl w:val="0"/>
              <w:rPr>
                <w:rFonts w:asciiTheme="minorHAnsi" w:hAnsiTheme="minorHAnsi" w:cstheme="minorHAnsi"/>
                <w:b w:val="0"/>
                <w:bCs w:val="0"/>
                <w:color w:val="auto"/>
                <w:sz w:val="22"/>
                <w:szCs w:val="22"/>
              </w:rPr>
            </w:pPr>
            <w:r w:rsidRPr="00E700E4">
              <w:rPr>
                <w:rFonts w:asciiTheme="minorHAnsi" w:hAnsiTheme="minorHAnsi" w:cstheme="minorHAnsi"/>
                <w:b w:val="0"/>
                <w:bCs w:val="0"/>
                <w:color w:val="auto"/>
                <w:sz w:val="22"/>
                <w:szCs w:val="22"/>
              </w:rPr>
              <w:t>.</w:t>
            </w:r>
          </w:p>
        </w:tc>
      </w:tr>
      <w:tr w:rsidR="00D0381F" w:rsidRPr="006C3E42" w14:paraId="30137166"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6FEE9D3F" w14:textId="77777777" w:rsidR="00D0381F" w:rsidRPr="00E700E4" w:rsidRDefault="00D0381F" w:rsidP="001856CB">
            <w:pPr>
              <w:pStyle w:val="Heading1"/>
              <w:outlineLvl w:val="0"/>
              <w:rPr>
                <w:rFonts w:asciiTheme="minorHAnsi" w:hAnsiTheme="minorHAnsi" w:cstheme="minorHAnsi"/>
              </w:rPr>
            </w:pPr>
            <w:r w:rsidRPr="00E700E4">
              <w:rPr>
                <w:rFonts w:asciiTheme="minorHAnsi" w:hAnsiTheme="minorHAnsi" w:cstheme="minorHAnsi"/>
              </w:rPr>
              <w:t>What is the business case for the policy</w:t>
            </w:r>
            <w:r w:rsidR="001856CB" w:rsidRPr="00E700E4">
              <w:rPr>
                <w:rFonts w:asciiTheme="minorHAnsi" w:hAnsiTheme="minorHAnsi" w:cstheme="minorHAnsi"/>
              </w:rPr>
              <w:t>/standard</w:t>
            </w:r>
            <w:r w:rsidRPr="00E700E4">
              <w:rPr>
                <w:rFonts w:asciiTheme="minorHAnsi" w:hAnsiTheme="minorHAnsi" w:cstheme="minorHAnsi"/>
              </w:rPr>
              <w:t>?</w:t>
            </w:r>
            <w:r w:rsidR="001856CB" w:rsidRPr="00E700E4">
              <w:rPr>
                <w:rFonts w:asciiTheme="minorHAnsi" w:hAnsiTheme="minorHAnsi" w:cstheme="minorHAnsi"/>
              </w:rPr>
              <w:t xml:space="preserve">  </w:t>
            </w:r>
          </w:p>
        </w:tc>
      </w:tr>
      <w:tr w:rsidR="00D0381F" w:rsidRPr="006C3E42" w14:paraId="14863A4E"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2F2AB59E" w14:textId="4C9B6037" w:rsidR="009F0EA9" w:rsidRPr="00E700E4" w:rsidRDefault="00033899" w:rsidP="00033899">
            <w:pPr>
              <w:pStyle w:val="ListParagraph"/>
              <w:spacing w:before="120"/>
              <w:rPr>
                <w:rFonts w:cstheme="minorHAnsi"/>
                <w:b w:val="0"/>
                <w:bCs w:val="0"/>
              </w:rPr>
            </w:pPr>
            <w:r w:rsidRPr="00E700E4">
              <w:rPr>
                <w:rFonts w:eastAsiaTheme="minorEastAsia" w:cstheme="minorHAnsi"/>
                <w:b w:val="0"/>
                <w:bCs w:val="0"/>
                <w:color w:val="343434"/>
                <w:lang w:val="en"/>
              </w:rPr>
              <w:t>This standard designates the state's Email address naming conventions as common solutions for state government to promote common IT practices and provide an integrated end-user experience. This updated is needed as the state transitions from on premises email and other services to M365.</w:t>
            </w:r>
            <w:r w:rsidRPr="00E700E4">
              <w:rPr>
                <w:rFonts w:cstheme="minorHAnsi"/>
                <w:b w:val="0"/>
                <w:bCs w:val="0"/>
              </w:rPr>
              <w:t xml:space="preserve">  This update considers equity concerns that have been identified by agencies and the State’s DEI group. </w:t>
            </w:r>
          </w:p>
        </w:tc>
      </w:tr>
      <w:tr w:rsidR="001856CB" w:rsidRPr="006C3E42" w14:paraId="0DF25E1C"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7C7775E2" w14:textId="77777777" w:rsidR="001856CB" w:rsidRPr="006C3E42" w:rsidRDefault="001856CB" w:rsidP="002A7561">
            <w:pPr>
              <w:pStyle w:val="Heading1"/>
              <w:outlineLvl w:val="0"/>
              <w:rPr>
                <w:rFonts w:asciiTheme="minorHAnsi" w:hAnsiTheme="minorHAnsi" w:cstheme="minorHAnsi"/>
              </w:rPr>
            </w:pPr>
            <w:r w:rsidRPr="006C3E42">
              <w:rPr>
                <w:rFonts w:asciiTheme="minorHAnsi" w:hAnsiTheme="minorHAnsi" w:cstheme="minorHAnsi"/>
              </w:rPr>
              <w:t xml:space="preserve">What are the key </w:t>
            </w:r>
            <w:r w:rsidR="002A7561" w:rsidRPr="006C3E42">
              <w:rPr>
                <w:rFonts w:asciiTheme="minorHAnsi" w:hAnsiTheme="minorHAnsi" w:cstheme="minorHAnsi"/>
              </w:rPr>
              <w:t>objectives</w:t>
            </w:r>
            <w:r w:rsidRPr="006C3E42">
              <w:rPr>
                <w:rFonts w:asciiTheme="minorHAnsi" w:hAnsiTheme="minorHAnsi" w:cstheme="minorHAnsi"/>
              </w:rPr>
              <w:t xml:space="preserve"> of the policy/standard?</w:t>
            </w:r>
          </w:p>
        </w:tc>
      </w:tr>
      <w:tr w:rsidR="001856CB" w:rsidRPr="006C3E42" w14:paraId="59FF00F3"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7AF2A6A4" w14:textId="3969F55B" w:rsidR="00033899" w:rsidRPr="006C3E42" w:rsidRDefault="00033899" w:rsidP="00033899">
            <w:pPr>
              <w:pStyle w:val="ListParagraph"/>
              <w:numPr>
                <w:ilvl w:val="0"/>
                <w:numId w:val="7"/>
              </w:numPr>
              <w:rPr>
                <w:rFonts w:eastAsiaTheme="minorEastAsia" w:cstheme="minorHAnsi"/>
                <w:b w:val="0"/>
                <w:bCs w:val="0"/>
                <w:color w:val="343434"/>
                <w:lang w:val="en"/>
              </w:rPr>
            </w:pPr>
            <w:r w:rsidRPr="006C3E42">
              <w:rPr>
                <w:rFonts w:eastAsiaTheme="minorEastAsia" w:cstheme="minorHAnsi"/>
                <w:b w:val="0"/>
                <w:bCs w:val="0"/>
                <w:color w:val="343434"/>
                <w:lang w:val="en"/>
              </w:rPr>
              <w:t>This standard establishes</w:t>
            </w:r>
            <w:r w:rsidR="00523302" w:rsidRPr="006C3E42">
              <w:rPr>
                <w:rFonts w:eastAsiaTheme="minorEastAsia" w:cstheme="minorHAnsi"/>
                <w:b w:val="0"/>
                <w:bCs w:val="0"/>
                <w:color w:val="343434"/>
                <w:lang w:val="en"/>
              </w:rPr>
              <w:t xml:space="preserve"> common E-mail address naming conventions for employee E-mail aliases including the Session Initiation Protocol (SIP) and the User </w:t>
            </w:r>
            <w:r w:rsidR="006C3E42" w:rsidRPr="006C3E42">
              <w:rPr>
                <w:rFonts w:eastAsiaTheme="minorEastAsia" w:cstheme="minorHAnsi"/>
                <w:b w:val="0"/>
                <w:bCs w:val="0"/>
                <w:color w:val="343434"/>
                <w:lang w:val="en"/>
              </w:rPr>
              <w:t>Principal</w:t>
            </w:r>
            <w:r w:rsidR="00523302" w:rsidRPr="006C3E42">
              <w:rPr>
                <w:rFonts w:eastAsiaTheme="minorEastAsia" w:cstheme="minorHAnsi"/>
                <w:b w:val="0"/>
                <w:bCs w:val="0"/>
                <w:color w:val="343434"/>
                <w:lang w:val="en"/>
              </w:rPr>
              <w:t xml:space="preserve"> Name (UPN), </w:t>
            </w:r>
            <w:r w:rsidRPr="006C3E42">
              <w:rPr>
                <w:rFonts w:eastAsiaTheme="minorEastAsia" w:cstheme="minorHAnsi"/>
                <w:b w:val="0"/>
                <w:bCs w:val="0"/>
                <w:color w:val="343434"/>
                <w:lang w:val="en"/>
              </w:rPr>
              <w:t>and the</w:t>
            </w:r>
            <w:r w:rsidR="00523302" w:rsidRPr="006C3E42">
              <w:rPr>
                <w:rFonts w:eastAsiaTheme="minorEastAsia" w:cstheme="minorHAnsi"/>
                <w:b w:val="0"/>
                <w:bCs w:val="0"/>
                <w:color w:val="343434"/>
                <w:lang w:val="en"/>
              </w:rPr>
              <w:t xml:space="preserve"> Simple Mail Transfer Protocol</w:t>
            </w:r>
            <w:r w:rsidRPr="006C3E42">
              <w:rPr>
                <w:rFonts w:eastAsiaTheme="minorEastAsia" w:cstheme="minorHAnsi"/>
                <w:b w:val="0"/>
                <w:bCs w:val="0"/>
                <w:color w:val="343434"/>
                <w:lang w:val="en"/>
              </w:rPr>
              <w:t xml:space="preserve"> (SMTP).</w:t>
            </w:r>
          </w:p>
          <w:p w14:paraId="46782975" w14:textId="3A8AF7AB" w:rsidR="00033899" w:rsidRPr="006C3E42" w:rsidRDefault="00033899" w:rsidP="00033899">
            <w:pPr>
              <w:pStyle w:val="ListParagraph"/>
              <w:numPr>
                <w:ilvl w:val="0"/>
                <w:numId w:val="7"/>
              </w:numPr>
              <w:rPr>
                <w:rFonts w:eastAsiaTheme="minorEastAsia" w:cstheme="minorHAnsi"/>
                <w:b w:val="0"/>
                <w:bCs w:val="0"/>
                <w:color w:val="343434"/>
                <w:lang w:val="en"/>
              </w:rPr>
            </w:pPr>
            <w:r w:rsidRPr="006C3E42">
              <w:rPr>
                <w:rFonts w:eastAsiaTheme="minorEastAsia" w:cstheme="minorHAnsi"/>
                <w:b w:val="0"/>
                <w:bCs w:val="0"/>
                <w:color w:val="343434"/>
                <w:lang w:val="en"/>
              </w:rPr>
              <w:t>Combines the current email naming standard and guidelines into one document to establish clear objectives and intended outcomes.</w:t>
            </w:r>
          </w:p>
          <w:p w14:paraId="50F91DBB" w14:textId="3E492103" w:rsidR="00263F47" w:rsidRPr="006C3E42" w:rsidRDefault="00263F47" w:rsidP="00033899">
            <w:pPr>
              <w:pStyle w:val="ListParagraph"/>
              <w:numPr>
                <w:ilvl w:val="0"/>
                <w:numId w:val="7"/>
              </w:numPr>
              <w:rPr>
                <w:rFonts w:eastAsiaTheme="minorEastAsia" w:cstheme="minorHAnsi"/>
                <w:b w:val="0"/>
                <w:bCs w:val="0"/>
                <w:color w:val="343434"/>
                <w:lang w:val="en"/>
              </w:rPr>
            </w:pPr>
            <w:r w:rsidRPr="006C3E42">
              <w:rPr>
                <w:rFonts w:eastAsiaTheme="minorEastAsia" w:cstheme="minorHAnsi"/>
                <w:b w:val="0"/>
                <w:bCs w:val="0"/>
                <w:color w:val="343434"/>
                <w:lang w:val="en"/>
              </w:rPr>
              <w:t>Email addresses must be unique in each agency</w:t>
            </w:r>
          </w:p>
          <w:p w14:paraId="004C1F3C" w14:textId="0138C79C" w:rsidR="00033899" w:rsidRPr="006C3E42" w:rsidRDefault="00263F47" w:rsidP="00033899">
            <w:pPr>
              <w:pStyle w:val="ListParagraph"/>
              <w:numPr>
                <w:ilvl w:val="0"/>
                <w:numId w:val="7"/>
              </w:numPr>
              <w:rPr>
                <w:rFonts w:eastAsiaTheme="minorEastAsia" w:cstheme="minorHAnsi"/>
                <w:b w:val="0"/>
                <w:bCs w:val="0"/>
                <w:color w:val="343434"/>
                <w:lang w:val="en"/>
              </w:rPr>
            </w:pPr>
            <w:r w:rsidRPr="006C3E42">
              <w:rPr>
                <w:rFonts w:eastAsiaTheme="minorEastAsia" w:cstheme="minorHAnsi"/>
                <w:b w:val="0"/>
                <w:bCs w:val="0"/>
                <w:color w:val="343434"/>
                <w:lang w:val="en"/>
              </w:rPr>
              <w:t>What and who is in scope and out of scope of this standard.</w:t>
            </w:r>
            <w:r w:rsidR="00C01686" w:rsidRPr="006C3E42">
              <w:rPr>
                <w:rFonts w:eastAsiaTheme="minorEastAsia" w:cstheme="minorHAnsi"/>
                <w:b w:val="0"/>
                <w:bCs w:val="0"/>
                <w:color w:val="343434"/>
                <w:lang w:val="en"/>
              </w:rPr>
              <w:t xml:space="preserve"> </w:t>
            </w:r>
          </w:p>
          <w:p w14:paraId="7A4E6404" w14:textId="1E212C38" w:rsidR="00263F47" w:rsidRPr="006C3E42" w:rsidRDefault="00263F47" w:rsidP="00033899">
            <w:pPr>
              <w:pStyle w:val="ListParagraph"/>
              <w:numPr>
                <w:ilvl w:val="0"/>
                <w:numId w:val="7"/>
              </w:numPr>
              <w:rPr>
                <w:rFonts w:eastAsiaTheme="minorEastAsia" w:cstheme="minorHAnsi"/>
                <w:b w:val="0"/>
                <w:bCs w:val="0"/>
                <w:color w:val="343434"/>
                <w:lang w:val="en"/>
              </w:rPr>
            </w:pPr>
            <w:r w:rsidRPr="006C3E42">
              <w:rPr>
                <w:rFonts w:eastAsiaTheme="minorEastAsia" w:cstheme="minorHAnsi"/>
                <w:b w:val="0"/>
                <w:bCs w:val="0"/>
                <w:color w:val="343434"/>
                <w:lang w:val="en"/>
              </w:rPr>
              <w:t>Sets a date of 4/1/2022 for agencies to submit a waiver if they are not currently in compliance and what the expected timeline and effort is needed to come in compliance.</w:t>
            </w:r>
          </w:p>
          <w:p w14:paraId="018B59C1" w14:textId="7913AB1A" w:rsidR="00523302" w:rsidRPr="006C3E42" w:rsidRDefault="00523302" w:rsidP="00033899">
            <w:pPr>
              <w:pStyle w:val="ListParagraph"/>
              <w:spacing w:before="120"/>
              <w:rPr>
                <w:rFonts w:cstheme="minorHAnsi"/>
              </w:rPr>
            </w:pPr>
          </w:p>
        </w:tc>
      </w:tr>
      <w:tr w:rsidR="001856CB" w:rsidRPr="006C3E42" w14:paraId="3CA15DDB"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26D46131" w14:textId="77777777" w:rsidR="001856CB" w:rsidRPr="006C3E42" w:rsidRDefault="001856CB" w:rsidP="001856CB">
            <w:pPr>
              <w:pStyle w:val="Heading1"/>
              <w:outlineLvl w:val="0"/>
              <w:rPr>
                <w:rFonts w:asciiTheme="minorHAnsi" w:hAnsiTheme="minorHAnsi" w:cstheme="minorHAnsi"/>
              </w:rPr>
            </w:pPr>
            <w:r w:rsidRPr="006C3E42">
              <w:rPr>
                <w:rFonts w:asciiTheme="minorHAnsi" w:hAnsiTheme="minorHAnsi" w:cstheme="minorHAnsi"/>
              </w:rPr>
              <w:t xml:space="preserve">How does policy/standard promote </w:t>
            </w:r>
            <w:r w:rsidR="005B6F65" w:rsidRPr="006C3E42">
              <w:rPr>
                <w:rFonts w:asciiTheme="minorHAnsi" w:hAnsiTheme="minorHAnsi" w:cstheme="minorHAnsi"/>
              </w:rPr>
              <w:t xml:space="preserve">or support </w:t>
            </w:r>
            <w:r w:rsidRPr="006C3E42">
              <w:rPr>
                <w:rFonts w:asciiTheme="minorHAnsi" w:hAnsiTheme="minorHAnsi" w:cstheme="minorHAnsi"/>
              </w:rPr>
              <w:t>alignment with strategies?</w:t>
            </w:r>
          </w:p>
        </w:tc>
      </w:tr>
      <w:tr w:rsidR="001856CB" w:rsidRPr="006C3E42" w14:paraId="4D672BEF"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19D18DC8" w14:textId="77777777" w:rsidR="009A1429" w:rsidRPr="006C3E42" w:rsidRDefault="002D0CED" w:rsidP="000867DB">
            <w:pPr>
              <w:spacing w:before="120"/>
              <w:rPr>
                <w:rFonts w:cstheme="minorHAnsi"/>
                <w:b w:val="0"/>
                <w:bCs w:val="0"/>
              </w:rPr>
            </w:pPr>
            <w:r w:rsidRPr="006C3E42">
              <w:rPr>
                <w:rFonts w:cstheme="minorHAnsi"/>
                <w:b w:val="0"/>
                <w:bCs w:val="0"/>
              </w:rPr>
              <w:t>This standard supports and promotes alignment with the state’s strategies for:</w:t>
            </w:r>
          </w:p>
          <w:p w14:paraId="7C00436D" w14:textId="77777777" w:rsidR="002D0CED" w:rsidRPr="006C3E42" w:rsidRDefault="002D0CED" w:rsidP="002D0CED">
            <w:pPr>
              <w:pStyle w:val="ListParagraph"/>
              <w:numPr>
                <w:ilvl w:val="0"/>
                <w:numId w:val="8"/>
              </w:numPr>
              <w:spacing w:before="120"/>
              <w:rPr>
                <w:rFonts w:cstheme="minorHAnsi"/>
                <w:b w:val="0"/>
                <w:bCs w:val="0"/>
              </w:rPr>
            </w:pPr>
            <w:r w:rsidRPr="006C3E42">
              <w:rPr>
                <w:rFonts w:cstheme="minorHAnsi"/>
                <w:b w:val="0"/>
                <w:bCs w:val="0"/>
              </w:rPr>
              <w:t>Adopting cloud solutions and migrating existing systems to cloud services.</w:t>
            </w:r>
          </w:p>
          <w:p w14:paraId="3127ABAD" w14:textId="77777777" w:rsidR="002D0CED" w:rsidRPr="006C3E42" w:rsidRDefault="002D0CED" w:rsidP="002D0CED">
            <w:pPr>
              <w:pStyle w:val="ListParagraph"/>
              <w:numPr>
                <w:ilvl w:val="0"/>
                <w:numId w:val="8"/>
              </w:numPr>
              <w:spacing w:before="120"/>
              <w:rPr>
                <w:rFonts w:cstheme="minorHAnsi"/>
                <w:b w:val="0"/>
                <w:bCs w:val="0"/>
              </w:rPr>
            </w:pPr>
            <w:r w:rsidRPr="006C3E42">
              <w:rPr>
                <w:rFonts w:cstheme="minorHAnsi"/>
                <w:b w:val="0"/>
                <w:bCs w:val="0"/>
              </w:rPr>
              <w:t>Adopting shared services for common business solutions.</w:t>
            </w:r>
          </w:p>
          <w:p w14:paraId="59F1E815" w14:textId="77777777" w:rsidR="002D0CED" w:rsidRPr="006C3E42" w:rsidRDefault="002D0CED" w:rsidP="002D0CED">
            <w:pPr>
              <w:pStyle w:val="ListParagraph"/>
              <w:numPr>
                <w:ilvl w:val="0"/>
                <w:numId w:val="8"/>
              </w:numPr>
              <w:spacing w:before="120"/>
              <w:rPr>
                <w:rFonts w:cstheme="minorHAnsi"/>
                <w:b w:val="0"/>
                <w:bCs w:val="0"/>
              </w:rPr>
            </w:pPr>
            <w:r w:rsidRPr="006C3E42">
              <w:rPr>
                <w:rFonts w:cstheme="minorHAnsi"/>
                <w:b w:val="0"/>
                <w:bCs w:val="0"/>
              </w:rPr>
              <w:t>Reducing unnecessary operational complexities and costs.</w:t>
            </w:r>
          </w:p>
          <w:p w14:paraId="30615E79" w14:textId="77777777" w:rsidR="002D0CED" w:rsidRPr="006C3E42" w:rsidRDefault="002D0CED" w:rsidP="002D0CED">
            <w:pPr>
              <w:pStyle w:val="ListParagraph"/>
              <w:numPr>
                <w:ilvl w:val="0"/>
                <w:numId w:val="8"/>
              </w:numPr>
              <w:spacing w:before="120"/>
              <w:rPr>
                <w:rFonts w:cstheme="minorHAnsi"/>
                <w:b w:val="0"/>
                <w:bCs w:val="0"/>
              </w:rPr>
            </w:pPr>
            <w:r w:rsidRPr="006C3E42">
              <w:rPr>
                <w:rFonts w:cstheme="minorHAnsi"/>
                <w:b w:val="0"/>
                <w:bCs w:val="0"/>
              </w:rPr>
              <w:t>Modernizing IT infrastructure to promote business innovation.</w:t>
            </w:r>
          </w:p>
          <w:p w14:paraId="106BC8AC" w14:textId="77777777" w:rsidR="002D0CED" w:rsidRPr="006C3E42" w:rsidRDefault="002D0CED" w:rsidP="002D0CED">
            <w:pPr>
              <w:pStyle w:val="ListParagraph"/>
              <w:numPr>
                <w:ilvl w:val="0"/>
                <w:numId w:val="8"/>
              </w:numPr>
              <w:spacing w:before="120"/>
              <w:rPr>
                <w:rFonts w:cstheme="minorHAnsi"/>
                <w:b w:val="0"/>
                <w:bCs w:val="0"/>
              </w:rPr>
            </w:pPr>
            <w:r w:rsidRPr="006C3E42">
              <w:rPr>
                <w:rFonts w:cstheme="minorHAnsi"/>
                <w:b w:val="0"/>
                <w:bCs w:val="0"/>
              </w:rPr>
              <w:t>Protecting the state’s IT assets by improving security and resilience of IT systems.</w:t>
            </w:r>
          </w:p>
          <w:p w14:paraId="71DA6F10" w14:textId="77777777" w:rsidR="002D0CED" w:rsidRDefault="002D0CED" w:rsidP="002D0CED">
            <w:pPr>
              <w:pStyle w:val="ListParagraph"/>
              <w:numPr>
                <w:ilvl w:val="0"/>
                <w:numId w:val="8"/>
              </w:numPr>
              <w:spacing w:before="120"/>
              <w:rPr>
                <w:rFonts w:cstheme="minorHAnsi"/>
                <w:b w:val="0"/>
                <w:bCs w:val="0"/>
              </w:rPr>
            </w:pPr>
            <w:r w:rsidRPr="006C3E42">
              <w:rPr>
                <w:rFonts w:cstheme="minorHAnsi"/>
                <w:b w:val="0"/>
                <w:bCs w:val="0"/>
              </w:rPr>
              <w:t>Advancing efficient and accountable government</w:t>
            </w:r>
            <w:r w:rsidRPr="006C3E42">
              <w:rPr>
                <w:rFonts w:cstheme="minorHAnsi"/>
              </w:rPr>
              <w:t>.</w:t>
            </w:r>
          </w:p>
          <w:p w14:paraId="222A5763" w14:textId="6A2D2273" w:rsidR="005B5B49" w:rsidRPr="006C3E42" w:rsidRDefault="005B5B49" w:rsidP="005B5B49">
            <w:pPr>
              <w:pStyle w:val="ListParagraph"/>
              <w:spacing w:before="120"/>
              <w:rPr>
                <w:rFonts w:cstheme="minorHAnsi"/>
                <w:b w:val="0"/>
                <w:bCs w:val="0"/>
              </w:rPr>
            </w:pPr>
          </w:p>
        </w:tc>
      </w:tr>
      <w:tr w:rsidR="001856CB" w:rsidRPr="006C3E42" w14:paraId="3A87F3AA"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0A0D47CB" w14:textId="77777777" w:rsidR="001856CB" w:rsidRPr="006C3E42" w:rsidRDefault="001856CB" w:rsidP="009159B2">
            <w:pPr>
              <w:pStyle w:val="Heading1"/>
              <w:outlineLvl w:val="0"/>
              <w:rPr>
                <w:rFonts w:asciiTheme="minorHAnsi" w:hAnsiTheme="minorHAnsi" w:cstheme="minorHAnsi"/>
              </w:rPr>
            </w:pPr>
            <w:r w:rsidRPr="006C3E42">
              <w:rPr>
                <w:rFonts w:asciiTheme="minorHAnsi" w:hAnsiTheme="minorHAnsi" w:cstheme="minorHAnsi"/>
              </w:rPr>
              <w:lastRenderedPageBreak/>
              <w:t>What are the implementation considerations?</w:t>
            </w:r>
          </w:p>
        </w:tc>
      </w:tr>
      <w:tr w:rsidR="001856CB" w:rsidRPr="006C3E42" w14:paraId="175176BB" w14:textId="77777777" w:rsidTr="001856CB">
        <w:trPr>
          <w:trHeight w:val="547"/>
        </w:trPr>
        <w:tc>
          <w:tcPr>
            <w:cnfStyle w:val="001000000000" w:firstRow="0" w:lastRow="0" w:firstColumn="1" w:lastColumn="0" w:oddVBand="0" w:evenVBand="0" w:oddHBand="0" w:evenHBand="0" w:firstRowFirstColumn="0" w:firstRowLastColumn="0" w:lastRowFirstColumn="0" w:lastRowLastColumn="0"/>
            <w:tcW w:w="9350" w:type="dxa"/>
          </w:tcPr>
          <w:p w14:paraId="327B04BE" w14:textId="37A9DD42" w:rsidR="002D0CED" w:rsidRPr="006C3E42" w:rsidRDefault="002D0CED" w:rsidP="002D0CED">
            <w:pPr>
              <w:pStyle w:val="ListParagraph"/>
              <w:numPr>
                <w:ilvl w:val="0"/>
                <w:numId w:val="9"/>
              </w:numPr>
              <w:spacing w:before="120"/>
              <w:rPr>
                <w:rFonts w:cstheme="minorHAnsi"/>
                <w:b w:val="0"/>
                <w:bCs w:val="0"/>
              </w:rPr>
            </w:pPr>
            <w:r w:rsidRPr="006C3E42">
              <w:rPr>
                <w:rFonts w:cstheme="minorHAnsi"/>
                <w:b w:val="0"/>
                <w:bCs w:val="0"/>
                <w:color w:val="343434"/>
                <w:shd w:val="clear" w:color="auto" w:fill="FFFFFF"/>
              </w:rPr>
              <w:t>The policy memorializes what has been statewide practice for several years.  Most of the requirements in this standard are in the current OCIO Email naming standard and guidelines or standards approved by the statewide Enterprise Active Directory Steering committee.  It combines many of these standards into one standard.</w:t>
            </w:r>
          </w:p>
          <w:p w14:paraId="1F192D47" w14:textId="77777777" w:rsidR="00BF0167" w:rsidRPr="006C3E42" w:rsidRDefault="00BF0167" w:rsidP="002D0CED">
            <w:pPr>
              <w:pStyle w:val="ListParagraph"/>
              <w:numPr>
                <w:ilvl w:val="0"/>
                <w:numId w:val="9"/>
              </w:numPr>
              <w:spacing w:before="120"/>
              <w:rPr>
                <w:rFonts w:cstheme="minorHAnsi"/>
                <w:b w:val="0"/>
                <w:bCs w:val="0"/>
              </w:rPr>
            </w:pPr>
            <w:r w:rsidRPr="006C3E42">
              <w:rPr>
                <w:rFonts w:cstheme="minorHAnsi"/>
                <w:b w:val="0"/>
                <w:bCs w:val="0"/>
              </w:rPr>
              <w:t>Agencies are in varying degrees of compliance with the current standard as well as this draft standard.</w:t>
            </w:r>
          </w:p>
          <w:p w14:paraId="3471CD28" w14:textId="2AA724CC" w:rsidR="002D0CED" w:rsidRPr="006C3E42" w:rsidRDefault="002D0CED" w:rsidP="002D0CED">
            <w:pPr>
              <w:pStyle w:val="ListParagraph"/>
              <w:numPr>
                <w:ilvl w:val="0"/>
                <w:numId w:val="9"/>
              </w:numPr>
              <w:spacing w:before="120"/>
              <w:rPr>
                <w:rFonts w:cstheme="minorHAnsi"/>
                <w:b w:val="0"/>
                <w:bCs w:val="0"/>
              </w:rPr>
            </w:pPr>
            <w:r w:rsidRPr="006C3E42">
              <w:rPr>
                <w:rFonts w:cstheme="minorHAnsi"/>
                <w:b w:val="0"/>
                <w:bCs w:val="0"/>
              </w:rPr>
              <w:t>Some agencies may not be able to prioritize resources</w:t>
            </w:r>
            <w:r w:rsidR="00156BB6">
              <w:rPr>
                <w:rFonts w:cstheme="minorHAnsi"/>
                <w:b w:val="0"/>
                <w:bCs w:val="0"/>
              </w:rPr>
              <w:t xml:space="preserve"> or have the funding needed</w:t>
            </w:r>
            <w:r w:rsidRPr="006C3E42">
              <w:rPr>
                <w:rFonts w:cstheme="minorHAnsi"/>
                <w:b w:val="0"/>
                <w:bCs w:val="0"/>
              </w:rPr>
              <w:t xml:space="preserve"> to meet the required timeline.  They can apply for a waiver, but that means there could be technical and collaboration issues are the State continues to move to cloud based solutions.</w:t>
            </w:r>
            <w:r w:rsidR="00BF0167" w:rsidRPr="006C3E42">
              <w:rPr>
                <w:rFonts w:cstheme="minorHAnsi"/>
                <w:b w:val="0"/>
                <w:bCs w:val="0"/>
              </w:rPr>
              <w:t xml:space="preserve">  For some of the agencies not currently in compliance it could mean a major project to transition their legacy naming practices to the ones proscribed in this updated standard.  The amount of time and money needed to complete this transition will vary by agency.  These agencies can submit a  waiver that describes their current state of compliance and the plan moving forward.</w:t>
            </w:r>
          </w:p>
          <w:p w14:paraId="4F04952B" w14:textId="514E03E8" w:rsidR="00BF0167" w:rsidRPr="006C3E42" w:rsidRDefault="00BF0167" w:rsidP="002D0CED">
            <w:pPr>
              <w:pStyle w:val="ListParagraph"/>
              <w:numPr>
                <w:ilvl w:val="0"/>
                <w:numId w:val="9"/>
              </w:numPr>
              <w:spacing w:before="120"/>
              <w:rPr>
                <w:rFonts w:cstheme="minorHAnsi"/>
                <w:b w:val="0"/>
                <w:bCs w:val="0"/>
              </w:rPr>
            </w:pPr>
            <w:r w:rsidRPr="006C3E42">
              <w:rPr>
                <w:rFonts w:cstheme="minorHAnsi"/>
                <w:b w:val="0"/>
                <w:bCs w:val="0"/>
              </w:rPr>
              <w:t>This is one of many policy, standards, and guidelines that are needed for efficient and effective adoption of shared cloud resources such as M365.</w:t>
            </w:r>
          </w:p>
          <w:p w14:paraId="025BD044" w14:textId="6D2263AB" w:rsidR="00170A6B" w:rsidRPr="006C3E42" w:rsidRDefault="00170A6B" w:rsidP="002D0CED">
            <w:pPr>
              <w:rPr>
                <w:rFonts w:cstheme="minorHAnsi"/>
              </w:rPr>
            </w:pPr>
          </w:p>
        </w:tc>
      </w:tr>
      <w:tr w:rsidR="0011661E" w:rsidRPr="006C3E42" w14:paraId="013AE248" w14:textId="77777777" w:rsidTr="001856CB">
        <w:trPr>
          <w:trHeight w:val="547"/>
        </w:trPr>
        <w:tc>
          <w:tcPr>
            <w:cnfStyle w:val="001000000000" w:firstRow="0" w:lastRow="0" w:firstColumn="1" w:lastColumn="0" w:oddVBand="0" w:evenVBand="0" w:oddHBand="0" w:evenHBand="0" w:firstRowFirstColumn="0" w:firstRowLastColumn="0" w:lastRowFirstColumn="0" w:lastRowLastColumn="0"/>
            <w:tcW w:w="9350" w:type="dxa"/>
          </w:tcPr>
          <w:p w14:paraId="2B4495FD" w14:textId="77777777" w:rsidR="0011661E" w:rsidRPr="006C3E42" w:rsidRDefault="0011661E" w:rsidP="0011661E">
            <w:pPr>
              <w:pStyle w:val="Heading1"/>
              <w:outlineLvl w:val="0"/>
              <w:rPr>
                <w:rFonts w:asciiTheme="minorHAnsi" w:hAnsiTheme="minorHAnsi" w:cstheme="minorHAnsi"/>
              </w:rPr>
            </w:pPr>
            <w:r w:rsidRPr="006C3E42">
              <w:rPr>
                <w:rFonts w:asciiTheme="minorHAnsi" w:hAnsiTheme="minorHAnsi" w:cstheme="minorHAnsi"/>
              </w:rPr>
              <w:t xml:space="preserve">How will we know if the policy is successful?  </w:t>
            </w:r>
          </w:p>
        </w:tc>
      </w:tr>
      <w:tr w:rsidR="0011661E" w:rsidRPr="006C3E42" w14:paraId="726E587B" w14:textId="77777777" w:rsidTr="001856CB">
        <w:trPr>
          <w:trHeight w:val="547"/>
        </w:trPr>
        <w:tc>
          <w:tcPr>
            <w:cnfStyle w:val="001000000000" w:firstRow="0" w:lastRow="0" w:firstColumn="1" w:lastColumn="0" w:oddVBand="0" w:evenVBand="0" w:oddHBand="0" w:evenHBand="0" w:firstRowFirstColumn="0" w:firstRowLastColumn="0" w:lastRowFirstColumn="0" w:lastRowLastColumn="0"/>
            <w:tcW w:w="9350" w:type="dxa"/>
          </w:tcPr>
          <w:p w14:paraId="7C73681F" w14:textId="4850B05A" w:rsidR="0011661E" w:rsidRPr="00A26EEE" w:rsidRDefault="00BF0167" w:rsidP="000867DB">
            <w:pPr>
              <w:spacing w:before="120"/>
              <w:rPr>
                <w:rFonts w:cstheme="minorHAnsi"/>
                <w:b w:val="0"/>
                <w:bCs w:val="0"/>
              </w:rPr>
            </w:pPr>
            <w:r w:rsidRPr="00A26EEE">
              <w:rPr>
                <w:rFonts w:cstheme="minorHAnsi"/>
                <w:b w:val="0"/>
                <w:bCs w:val="0"/>
              </w:rPr>
              <w:t xml:space="preserve">The Policy is successful if all in scope agencies have met the conditions outlined in this standard or have a plan to become compliant. </w:t>
            </w:r>
          </w:p>
        </w:tc>
      </w:tr>
    </w:tbl>
    <w:p w14:paraId="0E456431" w14:textId="77777777" w:rsidR="00BC215D" w:rsidRPr="006C3E42" w:rsidRDefault="00BC215D">
      <w:pPr>
        <w:rPr>
          <w:rFonts w:cstheme="minorHAnsi"/>
        </w:rPr>
      </w:pPr>
    </w:p>
    <w:sectPr w:rsidR="00BC215D" w:rsidRPr="006C3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5E03" w14:textId="77777777" w:rsidR="00A95FA8" w:rsidRDefault="00A95FA8" w:rsidP="00A95FA8">
      <w:pPr>
        <w:spacing w:after="0" w:line="240" w:lineRule="auto"/>
      </w:pPr>
      <w:r>
        <w:separator/>
      </w:r>
    </w:p>
  </w:endnote>
  <w:endnote w:type="continuationSeparator" w:id="0">
    <w:p w14:paraId="47252631" w14:textId="77777777" w:rsidR="00A95FA8" w:rsidRDefault="00A95FA8" w:rsidP="00A9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2AC5" w14:textId="77777777" w:rsidR="00A95FA8" w:rsidRDefault="00A95FA8" w:rsidP="00A95FA8">
      <w:pPr>
        <w:spacing w:after="0" w:line="240" w:lineRule="auto"/>
      </w:pPr>
      <w:r>
        <w:separator/>
      </w:r>
    </w:p>
  </w:footnote>
  <w:footnote w:type="continuationSeparator" w:id="0">
    <w:p w14:paraId="1D33CFFB" w14:textId="77777777" w:rsidR="00A95FA8" w:rsidRDefault="00A95FA8" w:rsidP="00A9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5AE7"/>
    <w:multiLevelType w:val="hybridMultilevel"/>
    <w:tmpl w:val="43F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25415"/>
    <w:multiLevelType w:val="hybridMultilevel"/>
    <w:tmpl w:val="E5DA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3787"/>
    <w:multiLevelType w:val="hybridMultilevel"/>
    <w:tmpl w:val="004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570AE"/>
    <w:multiLevelType w:val="hybridMultilevel"/>
    <w:tmpl w:val="58B0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F4A94"/>
    <w:multiLevelType w:val="hybridMultilevel"/>
    <w:tmpl w:val="F562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66F06"/>
    <w:multiLevelType w:val="hybridMultilevel"/>
    <w:tmpl w:val="D41C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02D32"/>
    <w:multiLevelType w:val="hybridMultilevel"/>
    <w:tmpl w:val="11C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90C5F"/>
    <w:multiLevelType w:val="hybridMultilevel"/>
    <w:tmpl w:val="B4F01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D2C40"/>
    <w:multiLevelType w:val="hybridMultilevel"/>
    <w:tmpl w:val="E3385F10"/>
    <w:lvl w:ilvl="0" w:tplc="449A3B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3"/>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5D"/>
    <w:rsid w:val="00033899"/>
    <w:rsid w:val="000867DB"/>
    <w:rsid w:val="000E1D0D"/>
    <w:rsid w:val="00100BF5"/>
    <w:rsid w:val="0011661E"/>
    <w:rsid w:val="00156BB6"/>
    <w:rsid w:val="00170A6B"/>
    <w:rsid w:val="00176D16"/>
    <w:rsid w:val="001856CB"/>
    <w:rsid w:val="00185CBC"/>
    <w:rsid w:val="001B045B"/>
    <w:rsid w:val="001B3605"/>
    <w:rsid w:val="001E1744"/>
    <w:rsid w:val="001F6A23"/>
    <w:rsid w:val="00224C7A"/>
    <w:rsid w:val="002352C3"/>
    <w:rsid w:val="00263F47"/>
    <w:rsid w:val="00293598"/>
    <w:rsid w:val="0029488C"/>
    <w:rsid w:val="002A00D8"/>
    <w:rsid w:val="002A7561"/>
    <w:rsid w:val="002D03BC"/>
    <w:rsid w:val="002D0CED"/>
    <w:rsid w:val="002F2081"/>
    <w:rsid w:val="00322750"/>
    <w:rsid w:val="00330821"/>
    <w:rsid w:val="00362C86"/>
    <w:rsid w:val="003828C9"/>
    <w:rsid w:val="003B1302"/>
    <w:rsid w:val="00423D9D"/>
    <w:rsid w:val="00445B1C"/>
    <w:rsid w:val="00451C32"/>
    <w:rsid w:val="00467359"/>
    <w:rsid w:val="00482EBC"/>
    <w:rsid w:val="0048518F"/>
    <w:rsid w:val="00487DF5"/>
    <w:rsid w:val="004F2B4D"/>
    <w:rsid w:val="0050024C"/>
    <w:rsid w:val="00523302"/>
    <w:rsid w:val="0054137C"/>
    <w:rsid w:val="0054406E"/>
    <w:rsid w:val="0058770B"/>
    <w:rsid w:val="00596FAD"/>
    <w:rsid w:val="005B5B49"/>
    <w:rsid w:val="005B6BEC"/>
    <w:rsid w:val="005B6F65"/>
    <w:rsid w:val="00622F20"/>
    <w:rsid w:val="00635E41"/>
    <w:rsid w:val="00637678"/>
    <w:rsid w:val="00641A42"/>
    <w:rsid w:val="00646B72"/>
    <w:rsid w:val="006546E3"/>
    <w:rsid w:val="006B7028"/>
    <w:rsid w:val="006C3E42"/>
    <w:rsid w:val="00741759"/>
    <w:rsid w:val="00752CCD"/>
    <w:rsid w:val="007729AD"/>
    <w:rsid w:val="007B4ED5"/>
    <w:rsid w:val="007C10A7"/>
    <w:rsid w:val="007D353D"/>
    <w:rsid w:val="007F785C"/>
    <w:rsid w:val="00854AC5"/>
    <w:rsid w:val="00860A52"/>
    <w:rsid w:val="009159B2"/>
    <w:rsid w:val="00936A49"/>
    <w:rsid w:val="00944BBA"/>
    <w:rsid w:val="00953B32"/>
    <w:rsid w:val="009A1429"/>
    <w:rsid w:val="009D2D57"/>
    <w:rsid w:val="009F0D2C"/>
    <w:rsid w:val="009F0EA9"/>
    <w:rsid w:val="009F2A54"/>
    <w:rsid w:val="00A01CDF"/>
    <w:rsid w:val="00A22FB9"/>
    <w:rsid w:val="00A26EEE"/>
    <w:rsid w:val="00A84863"/>
    <w:rsid w:val="00A95FA8"/>
    <w:rsid w:val="00AF09AD"/>
    <w:rsid w:val="00B141D0"/>
    <w:rsid w:val="00BC215D"/>
    <w:rsid w:val="00BF0167"/>
    <w:rsid w:val="00C01686"/>
    <w:rsid w:val="00C13747"/>
    <w:rsid w:val="00C338C9"/>
    <w:rsid w:val="00D0381F"/>
    <w:rsid w:val="00D45F29"/>
    <w:rsid w:val="00D7375C"/>
    <w:rsid w:val="00D8438C"/>
    <w:rsid w:val="00DE48DD"/>
    <w:rsid w:val="00DF3CF8"/>
    <w:rsid w:val="00E700E4"/>
    <w:rsid w:val="00E7399F"/>
    <w:rsid w:val="00E83F2B"/>
    <w:rsid w:val="00EE7834"/>
    <w:rsid w:val="00F5052A"/>
    <w:rsid w:val="00F56211"/>
    <w:rsid w:val="00F75001"/>
    <w:rsid w:val="00F90B64"/>
    <w:rsid w:val="00FA665F"/>
    <w:rsid w:val="00FD2BF0"/>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0AA04"/>
  <w15:chartTrackingRefBased/>
  <w15:docId w15:val="{3CC3C1A2-39D1-4C10-BDA6-F10EC1E4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6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0381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1856CB"/>
    <w:pPr>
      <w:spacing w:after="0" w:line="240" w:lineRule="auto"/>
    </w:pPr>
  </w:style>
  <w:style w:type="character" w:customStyle="1" w:styleId="Heading1Char">
    <w:name w:val="Heading 1 Char"/>
    <w:basedOn w:val="DefaultParagraphFont"/>
    <w:link w:val="Heading1"/>
    <w:uiPriority w:val="9"/>
    <w:rsid w:val="001856CB"/>
    <w:rPr>
      <w:rFonts w:asciiTheme="majorHAnsi" w:eastAsiaTheme="majorEastAsia" w:hAnsiTheme="majorHAnsi" w:cstheme="majorBidi"/>
      <w:color w:val="2E74B5" w:themeColor="accent1" w:themeShade="BF"/>
      <w:sz w:val="32"/>
      <w:szCs w:val="32"/>
    </w:rPr>
  </w:style>
  <w:style w:type="table" w:styleId="GridTable1Light-Accent5">
    <w:name w:val="Grid Table 1 Light Accent 5"/>
    <w:basedOn w:val="TableNormal"/>
    <w:uiPriority w:val="46"/>
    <w:rsid w:val="001856C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56C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56C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587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70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352C3"/>
    <w:rPr>
      <w:color w:val="0563C1" w:themeColor="hyperlink"/>
      <w:u w:val="single"/>
    </w:rPr>
  </w:style>
  <w:style w:type="paragraph" w:styleId="ListParagraph">
    <w:name w:val="List Paragraph"/>
    <w:basedOn w:val="Normal"/>
    <w:uiPriority w:val="34"/>
    <w:qFormat/>
    <w:rsid w:val="00854AC5"/>
    <w:pPr>
      <w:ind w:left="720"/>
      <w:contextualSpacing/>
    </w:pPr>
  </w:style>
  <w:style w:type="character" w:styleId="FollowedHyperlink">
    <w:name w:val="FollowedHyperlink"/>
    <w:basedOn w:val="DefaultParagraphFont"/>
    <w:uiPriority w:val="99"/>
    <w:semiHidden/>
    <w:unhideWhenUsed/>
    <w:rsid w:val="00637678"/>
    <w:rPr>
      <w:color w:val="954F72" w:themeColor="followedHyperlink"/>
      <w:u w:val="single"/>
    </w:rPr>
  </w:style>
  <w:style w:type="character" w:styleId="UnresolvedMention">
    <w:name w:val="Unresolved Mention"/>
    <w:basedOn w:val="DefaultParagraphFont"/>
    <w:uiPriority w:val="99"/>
    <w:semiHidden/>
    <w:unhideWhenUsed/>
    <w:rsid w:val="00224C7A"/>
    <w:rPr>
      <w:color w:val="605E5C"/>
      <w:shd w:val="clear" w:color="auto" w:fill="E1DFDD"/>
    </w:rPr>
  </w:style>
  <w:style w:type="paragraph" w:styleId="BalloonText">
    <w:name w:val="Balloon Text"/>
    <w:basedOn w:val="Normal"/>
    <w:link w:val="BalloonTextChar"/>
    <w:uiPriority w:val="99"/>
    <w:semiHidden/>
    <w:unhideWhenUsed/>
    <w:rsid w:val="00330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B0A64C766CE84EA1B5090B63560E1D" ma:contentTypeVersion="13" ma:contentTypeDescription="Create a new document." ma:contentTypeScope="" ma:versionID="bca1d3c49b04a82110df821ddda9fe13">
  <xsd:schema xmlns:xsd="http://www.w3.org/2001/XMLSchema" xmlns:xs="http://www.w3.org/2001/XMLSchema" xmlns:p="http://schemas.microsoft.com/office/2006/metadata/properties" xmlns:ns1="http://schemas.microsoft.com/sharepoint/v3" xmlns:ns3="b8a484ef-a05b-4a3a-8825-0b152cbf3bdd" xmlns:ns4="f91fd446-e0f4-420b-970b-26aa31c0943c" targetNamespace="http://schemas.microsoft.com/office/2006/metadata/properties" ma:root="true" ma:fieldsID="e9c7ec0cfe55585487f0b5c158161fbf" ns1:_="" ns3:_="" ns4:_="">
    <xsd:import namespace="http://schemas.microsoft.com/sharepoint/v3"/>
    <xsd:import namespace="b8a484ef-a05b-4a3a-8825-0b152cbf3bdd"/>
    <xsd:import namespace="f91fd446-e0f4-420b-970b-26aa31c0943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484ef-a05b-4a3a-8825-0b152cbf3b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d446-e0f4-420b-970b-26aa31c09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1A6704-64A0-4DFE-A54C-1A6805FFF623}">
  <ds:schemaRefs>
    <ds:schemaRef ds:uri="http://schemas.openxmlformats.org/officeDocument/2006/bibliography"/>
  </ds:schemaRefs>
</ds:datastoreItem>
</file>

<file path=customXml/itemProps2.xml><?xml version="1.0" encoding="utf-8"?>
<ds:datastoreItem xmlns:ds="http://schemas.openxmlformats.org/officeDocument/2006/customXml" ds:itemID="{CA737E2F-93BC-4BB7-AC0F-BE3F35531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a484ef-a05b-4a3a-8825-0b152cbf3bdd"/>
    <ds:schemaRef ds:uri="f91fd446-e0f4-420b-970b-26aa31c09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5F4FF-3C59-40DA-80A5-256005B0787F}">
  <ds:schemaRefs>
    <ds:schemaRef ds:uri="http://schemas.microsoft.com/sharepoint/v3/contenttype/forms"/>
  </ds:schemaRefs>
</ds:datastoreItem>
</file>

<file path=customXml/itemProps4.xml><?xml version="1.0" encoding="utf-8"?>
<ds:datastoreItem xmlns:ds="http://schemas.openxmlformats.org/officeDocument/2006/customXml" ds:itemID="{9098E13E-0C92-4877-88BA-F998A3952D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 Sue (WaTech)</dc:creator>
  <cp:keywords/>
  <dc:description/>
  <cp:lastModifiedBy>Lindekugel, Scott (OCIO)</cp:lastModifiedBy>
  <cp:revision>12</cp:revision>
  <dcterms:created xsi:type="dcterms:W3CDTF">2021-11-02T23:39:00Z</dcterms:created>
  <dcterms:modified xsi:type="dcterms:W3CDTF">2021-11-12T19:51:00Z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0x010100BBB0A64C766CE84EA1B5090B63560E1D</vt:lpwstr>
  </property>
  <property fmtid="{D5CDD505-2E9C-101B-9397-08002B2CF9AE}" pid="3" name="MSIP_Label_1520fa42-cf58-4c22-8b93-58cf1d3bd1cb_Enabled">
    <vt:lpwstr>true</vt:lpwstr>
  </property>
  <property fmtid="{D5CDD505-2E9C-101B-9397-08002B2CF9AE}" pid="4" name="MSIP_Label_1520fa42-cf58-4c22-8b93-58cf1d3bd1cb_SetDate">
    <vt:lpwstr>2021-11-02T23:46:13Z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80f1f545-56a1-42ad-9570-4883eeb028dd</vt:lpwstr>
  </property>
  <property fmtid="{D5CDD505-2E9C-101B-9397-08002B2CF9AE}" pid="9" name="MSIP_Label_1520fa42-cf58-4c22-8b93-58cf1d3bd1cb_ContentBits">
    <vt:lpwstr>0</vt:lpwstr>
  </property>
</Properties>
</file>