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A15D" w14:textId="2F47051C" w:rsidR="008E7138" w:rsidRDefault="008E7138" w:rsidP="008E7138">
      <w:pPr>
        <w:pStyle w:val="Heading1"/>
        <w:rPr>
          <w:sz w:val="24"/>
          <w:szCs w:val="24"/>
        </w:rPr>
      </w:pPr>
      <w:r>
        <w:rPr>
          <w:rFonts w:ascii="Arial Nova" w:hAnsi="Arial Nova"/>
          <w:b w:val="0"/>
          <w:bCs/>
          <w:color w:val="0070C0"/>
          <w:sz w:val="48"/>
          <w:szCs w:val="48"/>
        </w:rPr>
        <w:t>Technology Serv</w:t>
      </w:r>
      <w:r w:rsidR="00761F20">
        <w:rPr>
          <w:rFonts w:ascii="Arial Nova" w:hAnsi="Arial Nova"/>
          <w:b w:val="0"/>
          <w:bCs/>
          <w:color w:val="0070C0"/>
          <w:sz w:val="48"/>
          <w:szCs w:val="48"/>
        </w:rPr>
        <w:t>ic</w:t>
      </w:r>
      <w:r>
        <w:rPr>
          <w:rFonts w:ascii="Arial Nova" w:hAnsi="Arial Nova"/>
          <w:b w:val="0"/>
          <w:bCs/>
          <w:color w:val="0070C0"/>
          <w:sz w:val="48"/>
          <w:szCs w:val="48"/>
        </w:rPr>
        <w:t>es Board – Project Synopsis</w:t>
      </w:r>
    </w:p>
    <w:tbl>
      <w:tblPr>
        <w:tblStyle w:val="TableGrid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1217"/>
        <w:gridCol w:w="1250"/>
      </w:tblGrid>
      <w:tr w:rsidR="008E7138" w14:paraId="43AB22B7" w14:textId="77777777" w:rsidTr="008E7138">
        <w:trPr>
          <w:trHeight w:val="42"/>
        </w:trPr>
        <w:tc>
          <w:tcPr>
            <w:tcW w:w="6781" w:type="dxa"/>
          </w:tcPr>
          <w:p w14:paraId="01C94641" w14:textId="657E1BA9" w:rsidR="008E7138" w:rsidRPr="00C44981" w:rsidRDefault="008E7138" w:rsidP="001808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9E3900">
              <w:rPr>
                <w:sz w:val="24"/>
                <w:szCs w:val="24"/>
              </w:rPr>
              <w:t xml:space="preserve"> 9/13/2022</w:t>
            </w:r>
          </w:p>
        </w:tc>
        <w:tc>
          <w:tcPr>
            <w:tcW w:w="1217" w:type="dxa"/>
          </w:tcPr>
          <w:p w14:paraId="2198DA72" w14:textId="77777777" w:rsidR="008E7138" w:rsidRPr="00C44981" w:rsidRDefault="008E7138" w:rsidP="001808F9">
            <w:pPr>
              <w:jc w:val="center"/>
              <w:rPr>
                <w:b/>
                <w:sz w:val="18"/>
                <w:szCs w:val="18"/>
              </w:rPr>
            </w:pPr>
            <w:r w:rsidRPr="00C44981">
              <w:rPr>
                <w:b/>
                <w:sz w:val="18"/>
                <w:szCs w:val="18"/>
              </w:rPr>
              <w:t>OCIO Assessment</w:t>
            </w:r>
          </w:p>
        </w:tc>
        <w:tc>
          <w:tcPr>
            <w:tcW w:w="1250" w:type="dxa"/>
          </w:tcPr>
          <w:p w14:paraId="00010F0D" w14:textId="77777777" w:rsidR="008E7138" w:rsidRPr="00C44981" w:rsidRDefault="008E7138" w:rsidP="001808F9">
            <w:pPr>
              <w:jc w:val="center"/>
              <w:rPr>
                <w:b/>
                <w:sz w:val="18"/>
                <w:szCs w:val="18"/>
              </w:rPr>
            </w:pPr>
            <w:r w:rsidRPr="00C44981">
              <w:rPr>
                <w:b/>
                <w:sz w:val="18"/>
                <w:szCs w:val="18"/>
              </w:rPr>
              <w:t>QA Assessment</w:t>
            </w:r>
          </w:p>
        </w:tc>
      </w:tr>
      <w:tr w:rsidR="008E7138" w14:paraId="09CEE3DA" w14:textId="77777777" w:rsidTr="008E7138">
        <w:trPr>
          <w:trHeight w:val="357"/>
        </w:trPr>
        <w:tc>
          <w:tcPr>
            <w:tcW w:w="6781" w:type="dxa"/>
          </w:tcPr>
          <w:p w14:paraId="175F9AC7" w14:textId="14061002" w:rsidR="008E7138" w:rsidRPr="002173B6" w:rsidRDefault="008E7138" w:rsidP="0018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Name</w:t>
            </w:r>
            <w:r w:rsidR="009E3900">
              <w:rPr>
                <w:sz w:val="24"/>
                <w:szCs w:val="24"/>
              </w:rPr>
              <w:t xml:space="preserve">: </w:t>
            </w:r>
            <w:r w:rsidR="009E3900" w:rsidRPr="009E3900">
              <w:rPr>
                <w:sz w:val="24"/>
                <w:szCs w:val="24"/>
              </w:rPr>
              <w:t>Washington State Department of Labor &amp; Industries</w:t>
            </w:r>
          </w:p>
          <w:p w14:paraId="49C192E4" w14:textId="36C7B491" w:rsidR="008E7138" w:rsidRPr="002173B6" w:rsidRDefault="008E7138" w:rsidP="001808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Name</w:t>
            </w:r>
            <w:r w:rsidR="009E3900">
              <w:rPr>
                <w:b/>
                <w:sz w:val="24"/>
                <w:szCs w:val="24"/>
              </w:rPr>
              <w:t xml:space="preserve">: </w:t>
            </w:r>
            <w:r w:rsidR="009E3900" w:rsidRPr="009E3900">
              <w:rPr>
                <w:b/>
                <w:sz w:val="24"/>
                <w:szCs w:val="24"/>
              </w:rPr>
              <w:t>Workers’ Compensation System Modernization Project (WCSM)</w:t>
            </w:r>
          </w:p>
        </w:tc>
        <w:tc>
          <w:tcPr>
            <w:tcW w:w="1217" w:type="dxa"/>
          </w:tcPr>
          <w:p w14:paraId="222D236D" w14:textId="77777777" w:rsidR="008E7138" w:rsidRPr="00C44981" w:rsidRDefault="008E7138" w:rsidP="001808F9">
            <w:pPr>
              <w:spacing w:after="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8A2315" wp14:editId="516A864E">
                      <wp:simplePos x="0" y="0"/>
                      <wp:positionH relativeFrom="column">
                        <wp:posOffset>241663</wp:posOffset>
                      </wp:positionH>
                      <wp:positionV relativeFrom="paragraph">
                        <wp:posOffset>54429</wp:posOffset>
                      </wp:positionV>
                      <wp:extent cx="228600" cy="2286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90227" id="Oval 2" o:spid="_x0000_s1026" style="position:absolute;margin-left:19.05pt;margin-top:4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" fillcolor="yellow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50" w:type="dxa"/>
          </w:tcPr>
          <w:p w14:paraId="38B4C3F8" w14:textId="77777777" w:rsidR="008E7138" w:rsidRPr="00C44981" w:rsidRDefault="008E7138" w:rsidP="001808F9">
            <w:pPr>
              <w:spacing w:after="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BD52B94" wp14:editId="795B3AC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66F3C" id="Oval 1" o:spid="_x0000_s1026" style="position:absolute;margin-left:18.1pt;margin-top:3.75pt;width:18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" fillcolor="yellow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107E51B" w14:textId="77777777" w:rsidR="008E7138" w:rsidRPr="002173B6" w:rsidRDefault="008E7138" w:rsidP="008E7138">
      <w:pPr>
        <w:pStyle w:val="Heading2"/>
      </w:pPr>
      <w:r w:rsidRPr="002173B6">
        <w:t xml:space="preserve">Project </w:t>
      </w:r>
      <w:r>
        <w:t>overview</w:t>
      </w:r>
    </w:p>
    <w:p w14:paraId="06ED1E85" w14:textId="5C57FC54" w:rsidR="008E7138" w:rsidRDefault="00D97BA7" w:rsidP="008E7138">
      <w:r>
        <w:t xml:space="preserve">The Workers’ Compensation Systems Modernization (WCSM) project aims to replace L&amp;I’s “legacy” workers’ comp computer systems and its cumbersome business processes with a modern technical solution(s). </w:t>
      </w:r>
      <w:r w:rsidR="00CC5242">
        <w:t>This will help streamline and automate manual processes, which will lead to additional efficiencies and even better return-to-work outcomes.</w:t>
      </w:r>
    </w:p>
    <w:p w14:paraId="51B88266" w14:textId="77777777" w:rsidR="008E7138" w:rsidRDefault="008E7138" w:rsidP="008E7138"/>
    <w:p w14:paraId="2E6F51BB" w14:textId="4DFA2A86" w:rsidR="008E7138" w:rsidRPr="005577C9" w:rsidRDefault="008E7138" w:rsidP="008E7138">
      <w:pPr>
        <w:pStyle w:val="Heading3"/>
      </w:pPr>
      <w:r w:rsidRPr="005577C9">
        <w:t>For TSB discussion</w:t>
      </w:r>
    </w:p>
    <w:p w14:paraId="7F9F4221" w14:textId="1E7A79FC" w:rsidR="008E7138" w:rsidRDefault="008538D4" w:rsidP="008E7138">
      <w:r>
        <w:t xml:space="preserve">The WCSM project received results of an independent third-party review in 2021. The project has been revising its strategy and wants to provide the TSB with a project update based on the results. </w:t>
      </w:r>
    </w:p>
    <w:p w14:paraId="1BB8EBF8" w14:textId="77777777" w:rsidR="008E7138" w:rsidRPr="002173B6" w:rsidRDefault="008E7138" w:rsidP="008E7138">
      <w:pPr>
        <w:pStyle w:val="Heading2"/>
      </w:pPr>
      <w:r>
        <w:t>Issue statement</w:t>
      </w:r>
    </w:p>
    <w:p w14:paraId="204145DD" w14:textId="61CCB872" w:rsidR="008E7138" w:rsidRPr="002173B6" w:rsidRDefault="00CC5242" w:rsidP="008E7138">
      <w:r>
        <w:t xml:space="preserve">The state’s existing workers’ comp computer “ecosystem” is very large, </w:t>
      </w:r>
      <w:proofErr w:type="gramStart"/>
      <w:r>
        <w:t>old</w:t>
      </w:r>
      <w:proofErr w:type="gramEnd"/>
      <w:r>
        <w:t xml:space="preserve"> and complex. It uses more than 100 sub-systems is made up of multiple generations of technology. Too often, L&amp;I’s improvement efforts have run into technological roadblocks that force L&amp;I to continue tolerating inefficient business processes.</w:t>
      </w:r>
    </w:p>
    <w:p w14:paraId="0321EEAE" w14:textId="77777777" w:rsidR="008E7138" w:rsidRPr="002173B6" w:rsidRDefault="008E7138" w:rsidP="008E7138">
      <w:pPr>
        <w:pStyle w:val="Heading2"/>
      </w:pPr>
      <w:r>
        <w:t>Management strategy and readiness plan</w:t>
      </w:r>
    </w:p>
    <w:p w14:paraId="47CE2FF3" w14:textId="081923DA" w:rsidR="008E7138" w:rsidRPr="002173B6" w:rsidRDefault="007A2A24" w:rsidP="008E7138">
      <w:r>
        <w:t xml:space="preserve">The WCSM project team is changing its strategy from larger system changes in a phased approach, to prioritizing smaller, targeted system upgrades that offer more immediate business transformational value. This is based on </w:t>
      </w:r>
      <w:r w:rsidR="0081069C">
        <w:t>the</w:t>
      </w:r>
      <w:r>
        <w:t xml:space="preserve"> recent independent third-party review. The focus for the rest of this biennium is to implement </w:t>
      </w:r>
      <w:r w:rsidR="0081069C">
        <w:t>select</w:t>
      </w:r>
      <w:r>
        <w:t xml:space="preserve"> recommendations from the independent review, develop a revised solution strategy and complete a feasibility study. A “discovery planning phase” is now underway to revise the project’s next steps. </w:t>
      </w:r>
    </w:p>
    <w:p w14:paraId="761DE8A6" w14:textId="46A52A1C" w:rsidR="008E7138" w:rsidRDefault="008E7138" w:rsidP="008E7138">
      <w:pPr>
        <w:pStyle w:val="Heading2"/>
      </w:pPr>
      <w:r>
        <w:t>Project budget and timeline</w:t>
      </w:r>
    </w:p>
    <w:p w14:paraId="494D5E6C" w14:textId="77777777" w:rsidR="008E7138" w:rsidRPr="008E7138" w:rsidRDefault="008E7138" w:rsidP="008E7138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7645"/>
        <w:gridCol w:w="2970"/>
      </w:tblGrid>
      <w:tr w:rsidR="008E7138" w:rsidRPr="005577C9" w14:paraId="1C1A040B" w14:textId="77777777" w:rsidTr="009574AA">
        <w:trPr>
          <w:cantSplit/>
          <w:tblHeader/>
        </w:trPr>
        <w:tc>
          <w:tcPr>
            <w:tcW w:w="7645" w:type="dxa"/>
            <w:shd w:val="clear" w:color="auto" w:fill="0070C0"/>
          </w:tcPr>
          <w:p w14:paraId="747320DD" w14:textId="2F0121FD" w:rsidR="008E7138" w:rsidRPr="008E7138" w:rsidRDefault="008E7138" w:rsidP="001808F9">
            <w:pPr>
              <w:pStyle w:val="Heading3"/>
              <w:outlineLvl w:val="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E71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Budget</w:t>
            </w:r>
            <w:r w:rsidR="007C38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Current technology budget</w:t>
            </w:r>
          </w:p>
        </w:tc>
        <w:tc>
          <w:tcPr>
            <w:tcW w:w="2970" w:type="dxa"/>
            <w:shd w:val="clear" w:color="auto" w:fill="0070C0"/>
          </w:tcPr>
          <w:p w14:paraId="7FC0A229" w14:textId="77777777" w:rsidR="008E7138" w:rsidRPr="005577C9" w:rsidRDefault="008E7138" w:rsidP="001808F9">
            <w:pPr>
              <w:pStyle w:val="Heading3"/>
              <w:jc w:val="center"/>
              <w:outlineLvl w:val="2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E7138" w14:paraId="6788D65C" w14:textId="77777777" w:rsidTr="009574AA">
        <w:trPr>
          <w:cantSplit/>
        </w:trPr>
        <w:tc>
          <w:tcPr>
            <w:tcW w:w="7645" w:type="dxa"/>
          </w:tcPr>
          <w:p w14:paraId="2D19EB4B" w14:textId="1755F4CA" w:rsidR="008E7138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Employee Staffing Costs</w:t>
            </w:r>
          </w:p>
        </w:tc>
        <w:tc>
          <w:tcPr>
            <w:tcW w:w="2970" w:type="dxa"/>
          </w:tcPr>
          <w:p w14:paraId="56647928" w14:textId="7F8EE459" w:rsidR="008E7138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$491,883</w:t>
            </w:r>
          </w:p>
        </w:tc>
      </w:tr>
      <w:tr w:rsidR="008E7138" w14:paraId="015E0ECB" w14:textId="77777777" w:rsidTr="009574AA">
        <w:trPr>
          <w:cantSplit/>
        </w:trPr>
        <w:tc>
          <w:tcPr>
            <w:tcW w:w="7645" w:type="dxa"/>
          </w:tcPr>
          <w:p w14:paraId="079477AB" w14:textId="55A3E471" w:rsidR="008E7138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Employee Staffing Costs – In-kind</w:t>
            </w:r>
          </w:p>
        </w:tc>
        <w:tc>
          <w:tcPr>
            <w:tcW w:w="2970" w:type="dxa"/>
          </w:tcPr>
          <w:p w14:paraId="65BF9257" w14:textId="41F8DB83" w:rsidR="008E7138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$1,022,036</w:t>
            </w:r>
          </w:p>
        </w:tc>
      </w:tr>
      <w:tr w:rsidR="008E7138" w14:paraId="07216490" w14:textId="77777777" w:rsidTr="009574AA">
        <w:trPr>
          <w:cantSplit/>
        </w:trPr>
        <w:tc>
          <w:tcPr>
            <w:tcW w:w="7645" w:type="dxa"/>
          </w:tcPr>
          <w:p w14:paraId="106A268A" w14:textId="0D3378CE" w:rsidR="008E7138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Quality Assurance</w:t>
            </w:r>
          </w:p>
        </w:tc>
        <w:tc>
          <w:tcPr>
            <w:tcW w:w="2970" w:type="dxa"/>
          </w:tcPr>
          <w:p w14:paraId="535536BA" w14:textId="7F7252AE" w:rsidR="008E7138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$538,200</w:t>
            </w:r>
          </w:p>
        </w:tc>
      </w:tr>
      <w:tr w:rsidR="008E7138" w14:paraId="379D292F" w14:textId="77777777" w:rsidTr="009574AA">
        <w:trPr>
          <w:cantSplit/>
        </w:trPr>
        <w:tc>
          <w:tcPr>
            <w:tcW w:w="7645" w:type="dxa"/>
          </w:tcPr>
          <w:p w14:paraId="271BA229" w14:textId="0133A9D2" w:rsidR="008E7138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Technology Assessment/Solution Strategy</w:t>
            </w:r>
          </w:p>
        </w:tc>
        <w:tc>
          <w:tcPr>
            <w:tcW w:w="2970" w:type="dxa"/>
          </w:tcPr>
          <w:p w14:paraId="6A28BB0F" w14:textId="12DA0F3A" w:rsidR="008E7138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$2,700,000</w:t>
            </w:r>
          </w:p>
        </w:tc>
      </w:tr>
      <w:tr w:rsidR="00AF405A" w14:paraId="345E6FCA" w14:textId="77777777" w:rsidTr="002C7620">
        <w:trPr>
          <w:cantSplit/>
        </w:trPr>
        <w:tc>
          <w:tcPr>
            <w:tcW w:w="7645" w:type="dxa"/>
            <w:vAlign w:val="bottom"/>
          </w:tcPr>
          <w:p w14:paraId="795981E9" w14:textId="46F4F406" w:rsidR="00AF405A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Future State Journey Map</w:t>
            </w:r>
          </w:p>
        </w:tc>
        <w:tc>
          <w:tcPr>
            <w:tcW w:w="2970" w:type="dxa"/>
          </w:tcPr>
          <w:p w14:paraId="79D9D21C" w14:textId="3F53F107" w:rsidR="00AF405A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$899,997</w:t>
            </w:r>
          </w:p>
        </w:tc>
      </w:tr>
      <w:tr w:rsidR="00AF405A" w14:paraId="7482714C" w14:textId="77777777" w:rsidTr="002C7620">
        <w:trPr>
          <w:cantSplit/>
        </w:trPr>
        <w:tc>
          <w:tcPr>
            <w:tcW w:w="7645" w:type="dxa"/>
            <w:vAlign w:val="bottom"/>
          </w:tcPr>
          <w:p w14:paraId="25F3565A" w14:textId="6450E63B" w:rsidR="00AF405A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Feasibility Study</w:t>
            </w:r>
          </w:p>
        </w:tc>
        <w:tc>
          <w:tcPr>
            <w:tcW w:w="2970" w:type="dxa"/>
          </w:tcPr>
          <w:p w14:paraId="0344767E" w14:textId="147D6531" w:rsidR="00AF405A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$416,665</w:t>
            </w:r>
          </w:p>
        </w:tc>
      </w:tr>
      <w:tr w:rsidR="00AF405A" w14:paraId="6B715A25" w14:textId="77777777" w:rsidTr="002C7620">
        <w:trPr>
          <w:cantSplit/>
        </w:trPr>
        <w:tc>
          <w:tcPr>
            <w:tcW w:w="7645" w:type="dxa"/>
            <w:vAlign w:val="bottom"/>
          </w:tcPr>
          <w:p w14:paraId="19A04429" w14:textId="4A54044B" w:rsidR="00AF405A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Legacy/Remediation/Integration Lead</w:t>
            </w:r>
          </w:p>
        </w:tc>
        <w:tc>
          <w:tcPr>
            <w:tcW w:w="2970" w:type="dxa"/>
          </w:tcPr>
          <w:p w14:paraId="346395AA" w14:textId="34CDA2B7" w:rsidR="00AF405A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$422,400</w:t>
            </w:r>
          </w:p>
        </w:tc>
      </w:tr>
      <w:tr w:rsidR="00AF405A" w14:paraId="4C5F52F5" w14:textId="77777777" w:rsidTr="002C7620">
        <w:trPr>
          <w:cantSplit/>
        </w:trPr>
        <w:tc>
          <w:tcPr>
            <w:tcW w:w="7645" w:type="dxa"/>
            <w:vAlign w:val="bottom"/>
          </w:tcPr>
          <w:p w14:paraId="769C30E7" w14:textId="17B3D7FD" w:rsidR="00AF405A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Business Strategic Advisor</w:t>
            </w:r>
          </w:p>
        </w:tc>
        <w:tc>
          <w:tcPr>
            <w:tcW w:w="2970" w:type="dxa"/>
          </w:tcPr>
          <w:p w14:paraId="610D0AAC" w14:textId="43E20A1B" w:rsidR="00AF405A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$420,000</w:t>
            </w:r>
          </w:p>
        </w:tc>
      </w:tr>
      <w:tr w:rsidR="00AF405A" w14:paraId="0F93BE10" w14:textId="77777777" w:rsidTr="002C7620">
        <w:trPr>
          <w:cantSplit/>
        </w:trPr>
        <w:tc>
          <w:tcPr>
            <w:tcW w:w="7645" w:type="dxa"/>
            <w:vAlign w:val="bottom"/>
          </w:tcPr>
          <w:p w14:paraId="2341B7C8" w14:textId="4DD3A306" w:rsidR="00AF405A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Project Director</w:t>
            </w:r>
          </w:p>
        </w:tc>
        <w:tc>
          <w:tcPr>
            <w:tcW w:w="2970" w:type="dxa"/>
          </w:tcPr>
          <w:p w14:paraId="2B3446FA" w14:textId="0C1792A3" w:rsidR="00AF405A" w:rsidRPr="007C3824" w:rsidRDefault="00AF405A" w:rsidP="00AF405A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$567,000</w:t>
            </w:r>
          </w:p>
        </w:tc>
      </w:tr>
      <w:tr w:rsidR="00AF405A" w14:paraId="638E1AB7" w14:textId="77777777" w:rsidTr="009574AA">
        <w:trPr>
          <w:cantSplit/>
        </w:trPr>
        <w:tc>
          <w:tcPr>
            <w:tcW w:w="7645" w:type="dxa"/>
            <w:tcBorders>
              <w:bottom w:val="single" w:sz="4" w:space="0" w:color="auto"/>
            </w:tcBorders>
          </w:tcPr>
          <w:p w14:paraId="42D902EF" w14:textId="32C8D5AB" w:rsidR="00AF405A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Pre-Discovery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A5254DB" w14:textId="65390B1D" w:rsidR="00AF405A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$300,000</w:t>
            </w:r>
          </w:p>
        </w:tc>
      </w:tr>
      <w:tr w:rsidR="00AF405A" w14:paraId="27C760A1" w14:textId="77777777" w:rsidTr="009574AA">
        <w:trPr>
          <w:cantSplit/>
        </w:trPr>
        <w:tc>
          <w:tcPr>
            <w:tcW w:w="7645" w:type="dxa"/>
            <w:tcBorders>
              <w:bottom w:val="single" w:sz="4" w:space="0" w:color="auto"/>
            </w:tcBorders>
          </w:tcPr>
          <w:p w14:paraId="5DA3D16B" w14:textId="39D32A79" w:rsidR="00AF405A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Strategic Advisor (Short-term) – In-kind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0A5E822" w14:textId="5467A50C" w:rsidR="00AF405A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$390,000</w:t>
            </w:r>
          </w:p>
        </w:tc>
      </w:tr>
      <w:tr w:rsidR="00AF405A" w14:paraId="19F238FB" w14:textId="77777777" w:rsidTr="009574AA">
        <w:trPr>
          <w:cantSplit/>
        </w:trPr>
        <w:tc>
          <w:tcPr>
            <w:tcW w:w="7645" w:type="dxa"/>
            <w:tcBorders>
              <w:bottom w:val="single" w:sz="4" w:space="0" w:color="auto"/>
            </w:tcBorders>
          </w:tcPr>
          <w:p w14:paraId="13991241" w14:textId="05622AEA" w:rsidR="00AF405A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Executive Coaching – In-kind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25DF7A4" w14:textId="5A7E9F3F" w:rsidR="00AF405A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$35,000</w:t>
            </w:r>
          </w:p>
        </w:tc>
      </w:tr>
      <w:tr w:rsidR="00AF405A" w14:paraId="348DDAA7" w14:textId="77777777" w:rsidTr="009574AA">
        <w:trPr>
          <w:cantSplit/>
        </w:trPr>
        <w:tc>
          <w:tcPr>
            <w:tcW w:w="7645" w:type="dxa"/>
            <w:tcBorders>
              <w:bottom w:val="single" w:sz="4" w:space="0" w:color="auto"/>
            </w:tcBorders>
          </w:tcPr>
          <w:p w14:paraId="7C80A5F5" w14:textId="51F44484" w:rsidR="00AF405A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Other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E6BB1B8" w14:textId="107DDE71" w:rsidR="00AF405A" w:rsidRPr="007C3824" w:rsidRDefault="00AF405A" w:rsidP="001808F9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C3824">
              <w:rPr>
                <w:color w:val="auto"/>
                <w:sz w:val="20"/>
                <w:szCs w:val="20"/>
              </w:rPr>
              <w:t>$48,753</w:t>
            </w:r>
          </w:p>
        </w:tc>
      </w:tr>
      <w:tr w:rsidR="008E7138" w:rsidRPr="008437C8" w14:paraId="1D50F584" w14:textId="77777777" w:rsidTr="009574AA">
        <w:trPr>
          <w:cantSplit/>
        </w:trPr>
        <w:tc>
          <w:tcPr>
            <w:tcW w:w="7645" w:type="dxa"/>
            <w:tcBorders>
              <w:bottom w:val="double" w:sz="4" w:space="0" w:color="auto"/>
            </w:tcBorders>
          </w:tcPr>
          <w:p w14:paraId="16423AB9" w14:textId="77777777" w:rsidR="008E7138" w:rsidRPr="007C3824" w:rsidRDefault="008E7138" w:rsidP="001808F9">
            <w:pPr>
              <w:pStyle w:val="Heading3"/>
              <w:jc w:val="right"/>
              <w:outlineLvl w:val="2"/>
              <w:rPr>
                <w:b/>
                <w:color w:val="auto"/>
                <w:sz w:val="20"/>
                <w:szCs w:val="20"/>
              </w:rPr>
            </w:pPr>
            <w:r w:rsidRPr="007C3824">
              <w:rPr>
                <w:b/>
                <w:color w:val="auto"/>
                <w:sz w:val="20"/>
                <w:szCs w:val="20"/>
              </w:rPr>
              <w:t xml:space="preserve"> Total Project Cost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05D37C37" w14:textId="0D1F6265" w:rsidR="008E7138" w:rsidRPr="007C3824" w:rsidRDefault="00AF405A" w:rsidP="001808F9">
            <w:pPr>
              <w:pStyle w:val="Heading3"/>
              <w:outlineLvl w:val="2"/>
              <w:rPr>
                <w:b/>
                <w:color w:val="auto"/>
                <w:sz w:val="20"/>
                <w:szCs w:val="20"/>
              </w:rPr>
            </w:pPr>
            <w:r w:rsidRPr="007C3824">
              <w:rPr>
                <w:b/>
                <w:color w:val="auto"/>
                <w:sz w:val="20"/>
                <w:szCs w:val="20"/>
              </w:rPr>
              <w:t>$8,251,934</w:t>
            </w:r>
          </w:p>
        </w:tc>
      </w:tr>
    </w:tbl>
    <w:p w14:paraId="45E790E2" w14:textId="77777777" w:rsidR="008E7138" w:rsidRPr="00B33A43" w:rsidRDefault="008E7138" w:rsidP="008E7138">
      <w:pPr>
        <w:pStyle w:val="Heading3"/>
      </w:pPr>
    </w:p>
    <w:tbl>
      <w:tblPr>
        <w:tblStyle w:val="TableGrid"/>
        <w:tblW w:w="10615" w:type="dxa"/>
        <w:shd w:val="clear" w:color="auto" w:fill="92D050"/>
        <w:tblLook w:val="04A0" w:firstRow="1" w:lastRow="0" w:firstColumn="1" w:lastColumn="0" w:noHBand="0" w:noVBand="1"/>
      </w:tblPr>
      <w:tblGrid>
        <w:gridCol w:w="7645"/>
        <w:gridCol w:w="2970"/>
      </w:tblGrid>
      <w:tr w:rsidR="008E7138" w:rsidRPr="005577C9" w14:paraId="47F4211B" w14:textId="77777777" w:rsidTr="009574AA">
        <w:trPr>
          <w:cantSplit/>
          <w:tblHeader/>
        </w:trPr>
        <w:tc>
          <w:tcPr>
            <w:tcW w:w="7645" w:type="dxa"/>
            <w:shd w:val="clear" w:color="auto" w:fill="92D050"/>
            <w:vAlign w:val="bottom"/>
          </w:tcPr>
          <w:p w14:paraId="5FAE1653" w14:textId="77777777" w:rsidR="008E7138" w:rsidRPr="005577C9" w:rsidRDefault="008E7138" w:rsidP="001808F9">
            <w:pPr>
              <w:spacing w:before="40" w:after="40"/>
              <w:rPr>
                <w:b/>
              </w:rPr>
            </w:pPr>
            <w:r w:rsidRPr="005577C9">
              <w:rPr>
                <w:b/>
              </w:rPr>
              <w:t>Key Project Milestones</w:t>
            </w:r>
          </w:p>
        </w:tc>
        <w:tc>
          <w:tcPr>
            <w:tcW w:w="2970" w:type="dxa"/>
            <w:shd w:val="clear" w:color="auto" w:fill="92D050"/>
            <w:vAlign w:val="bottom"/>
          </w:tcPr>
          <w:p w14:paraId="349B6165" w14:textId="77777777" w:rsidR="008E7138" w:rsidRPr="005577C9" w:rsidRDefault="008E7138" w:rsidP="001808F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Planned Date</w:t>
            </w:r>
          </w:p>
        </w:tc>
      </w:tr>
      <w:tr w:rsidR="008E7138" w:rsidRPr="005577C9" w14:paraId="22CE793B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7BA6D23C" w14:textId="38CB8923" w:rsidR="008E7138" w:rsidRPr="005577C9" w:rsidRDefault="00255E2C" w:rsidP="001808F9">
            <w:pPr>
              <w:spacing w:before="40" w:after="40"/>
            </w:pPr>
            <w:r>
              <w:t xml:space="preserve">Approved </w:t>
            </w:r>
            <w:r w:rsidR="00E04E45">
              <w:t xml:space="preserve">Modernization </w:t>
            </w:r>
            <w:r>
              <w:t>S</w:t>
            </w:r>
            <w:r w:rsidR="00E04E45">
              <w:t xml:space="preserve">trategy </w:t>
            </w:r>
          </w:p>
        </w:tc>
        <w:tc>
          <w:tcPr>
            <w:tcW w:w="2970" w:type="dxa"/>
            <w:shd w:val="clear" w:color="auto" w:fill="auto"/>
          </w:tcPr>
          <w:p w14:paraId="49DC484C" w14:textId="3ACFBE93" w:rsidR="008E7138" w:rsidRPr="005577C9" w:rsidRDefault="00255E2C" w:rsidP="001808F9">
            <w:pPr>
              <w:spacing w:before="40" w:after="40"/>
              <w:jc w:val="center"/>
            </w:pPr>
            <w:r>
              <w:t>4/23</w:t>
            </w:r>
          </w:p>
        </w:tc>
      </w:tr>
      <w:tr w:rsidR="008E7138" w:rsidRPr="005577C9" w14:paraId="2BF2C461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660D9C4E" w14:textId="0EC48546" w:rsidR="008E7138" w:rsidRPr="005577C9" w:rsidRDefault="00255E2C" w:rsidP="001808F9">
            <w:pPr>
              <w:spacing w:before="40" w:after="40"/>
            </w:pPr>
            <w:r>
              <w:t>Current state logical architecture</w:t>
            </w:r>
            <w:r w:rsidR="00EA4913">
              <w:t xml:space="preserve"> document</w:t>
            </w:r>
          </w:p>
        </w:tc>
        <w:tc>
          <w:tcPr>
            <w:tcW w:w="2970" w:type="dxa"/>
            <w:shd w:val="clear" w:color="auto" w:fill="auto"/>
          </w:tcPr>
          <w:p w14:paraId="33324E4E" w14:textId="412CED7D" w:rsidR="008E7138" w:rsidRPr="005577C9" w:rsidRDefault="00255E2C" w:rsidP="001808F9">
            <w:pPr>
              <w:spacing w:before="40" w:after="40"/>
              <w:jc w:val="center"/>
            </w:pPr>
            <w:r>
              <w:t>5/23</w:t>
            </w:r>
          </w:p>
        </w:tc>
      </w:tr>
      <w:tr w:rsidR="00255E2C" w:rsidRPr="005577C9" w14:paraId="70011D38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65BA0E6B" w14:textId="25BF34F9" w:rsidR="00255E2C" w:rsidRDefault="00255E2C" w:rsidP="00255E2C">
            <w:pPr>
              <w:spacing w:before="40" w:after="40"/>
            </w:pPr>
            <w:r>
              <w:t>Updated total technical inventory</w:t>
            </w:r>
            <w:r w:rsidR="00EA4913">
              <w:t xml:space="preserve"> document</w:t>
            </w:r>
          </w:p>
        </w:tc>
        <w:tc>
          <w:tcPr>
            <w:tcW w:w="2970" w:type="dxa"/>
            <w:shd w:val="clear" w:color="auto" w:fill="auto"/>
          </w:tcPr>
          <w:p w14:paraId="2DC81602" w14:textId="075BFF5B" w:rsidR="00255E2C" w:rsidRPr="005577C9" w:rsidRDefault="00255E2C" w:rsidP="00255E2C">
            <w:pPr>
              <w:spacing w:before="40" w:after="40"/>
              <w:jc w:val="center"/>
            </w:pPr>
            <w:r>
              <w:t>5/23</w:t>
            </w:r>
          </w:p>
        </w:tc>
      </w:tr>
      <w:tr w:rsidR="00255E2C" w:rsidRPr="005577C9" w14:paraId="5B24C883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639E85E0" w14:textId="709A06CB" w:rsidR="00255E2C" w:rsidRDefault="00255E2C" w:rsidP="00255E2C">
            <w:pPr>
              <w:spacing w:before="40" w:after="40"/>
            </w:pPr>
            <w:r>
              <w:t>Feasibility study completed</w:t>
            </w:r>
          </w:p>
        </w:tc>
        <w:tc>
          <w:tcPr>
            <w:tcW w:w="2970" w:type="dxa"/>
            <w:shd w:val="clear" w:color="auto" w:fill="auto"/>
          </w:tcPr>
          <w:p w14:paraId="5382C74D" w14:textId="1623A5BD" w:rsidR="00255E2C" w:rsidRDefault="00255E2C" w:rsidP="00255E2C">
            <w:pPr>
              <w:spacing w:before="40" w:after="40"/>
              <w:jc w:val="center"/>
            </w:pPr>
            <w:r>
              <w:t>6/23</w:t>
            </w:r>
          </w:p>
        </w:tc>
      </w:tr>
      <w:tr w:rsidR="00255E2C" w:rsidRPr="005577C9" w14:paraId="6CB6EE4D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58D25F1D" w14:textId="1C341C05" w:rsidR="00255E2C" w:rsidRDefault="00255E2C" w:rsidP="00255E2C">
            <w:pPr>
              <w:spacing w:before="40" w:after="40"/>
            </w:pPr>
            <w:r>
              <w:t>Discovery Planning Phase complete</w:t>
            </w:r>
          </w:p>
        </w:tc>
        <w:tc>
          <w:tcPr>
            <w:tcW w:w="2970" w:type="dxa"/>
            <w:shd w:val="clear" w:color="auto" w:fill="auto"/>
          </w:tcPr>
          <w:p w14:paraId="1997B993" w14:textId="0832B41B" w:rsidR="00255E2C" w:rsidRDefault="00255E2C" w:rsidP="00255E2C">
            <w:pPr>
              <w:spacing w:before="40" w:after="40"/>
              <w:jc w:val="center"/>
            </w:pPr>
            <w:r>
              <w:t>6/23</w:t>
            </w:r>
          </w:p>
        </w:tc>
      </w:tr>
    </w:tbl>
    <w:p w14:paraId="1B648000" w14:textId="77777777" w:rsidR="008E7138" w:rsidRDefault="008E7138" w:rsidP="008E7138">
      <w:pPr>
        <w:pStyle w:val="Heading3"/>
      </w:pPr>
    </w:p>
    <w:tbl>
      <w:tblPr>
        <w:tblStyle w:val="TableGrid"/>
        <w:tblW w:w="10615" w:type="dxa"/>
        <w:shd w:val="clear" w:color="auto" w:fill="92D050"/>
        <w:tblLook w:val="04A0" w:firstRow="1" w:lastRow="0" w:firstColumn="1" w:lastColumn="0" w:noHBand="0" w:noVBand="1"/>
      </w:tblPr>
      <w:tblGrid>
        <w:gridCol w:w="7645"/>
        <w:gridCol w:w="2970"/>
      </w:tblGrid>
      <w:tr w:rsidR="008E7138" w:rsidRPr="00962038" w14:paraId="72D7509C" w14:textId="77777777" w:rsidTr="009574AA">
        <w:trPr>
          <w:cantSplit/>
          <w:tblHeader/>
        </w:trPr>
        <w:tc>
          <w:tcPr>
            <w:tcW w:w="7645" w:type="dxa"/>
            <w:shd w:val="clear" w:color="auto" w:fill="92D050"/>
            <w:vAlign w:val="bottom"/>
          </w:tcPr>
          <w:p w14:paraId="798F53C4" w14:textId="77777777" w:rsidR="008E7138" w:rsidRPr="005577C9" w:rsidRDefault="008E7138" w:rsidP="001808F9">
            <w:pPr>
              <w:spacing w:before="40" w:after="40"/>
              <w:rPr>
                <w:b/>
              </w:rPr>
            </w:pPr>
            <w:r w:rsidRPr="005577C9">
              <w:rPr>
                <w:b/>
              </w:rPr>
              <w:t>Key Events to Date</w:t>
            </w:r>
          </w:p>
        </w:tc>
        <w:tc>
          <w:tcPr>
            <w:tcW w:w="2970" w:type="dxa"/>
            <w:shd w:val="clear" w:color="auto" w:fill="92D050"/>
            <w:vAlign w:val="bottom"/>
          </w:tcPr>
          <w:p w14:paraId="0A8D8942" w14:textId="77777777" w:rsidR="008E7138" w:rsidRPr="005577C9" w:rsidRDefault="008E7138" w:rsidP="001808F9">
            <w:pPr>
              <w:spacing w:before="40" w:after="40"/>
              <w:jc w:val="center"/>
              <w:rPr>
                <w:b/>
              </w:rPr>
            </w:pPr>
            <w:r w:rsidRPr="005577C9">
              <w:rPr>
                <w:b/>
              </w:rPr>
              <w:t>Date</w:t>
            </w:r>
          </w:p>
        </w:tc>
      </w:tr>
      <w:tr w:rsidR="008E7138" w:rsidRPr="00962038" w14:paraId="6F1F29D3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493C743F" w14:textId="2B5EA947" w:rsidR="008E7138" w:rsidRPr="005577C9" w:rsidRDefault="00E04E45" w:rsidP="001808F9">
            <w:pPr>
              <w:spacing w:before="40" w:after="40"/>
            </w:pPr>
            <w:r>
              <w:t>Completion of Independent Review</w:t>
            </w:r>
          </w:p>
        </w:tc>
        <w:tc>
          <w:tcPr>
            <w:tcW w:w="2970" w:type="dxa"/>
          </w:tcPr>
          <w:p w14:paraId="2F446D3B" w14:textId="44A1E528" w:rsidR="008E7138" w:rsidRPr="005577C9" w:rsidRDefault="00EA4913" w:rsidP="001808F9">
            <w:pPr>
              <w:spacing w:before="40" w:after="40"/>
              <w:jc w:val="center"/>
            </w:pPr>
            <w:r>
              <w:t>6/21</w:t>
            </w:r>
          </w:p>
        </w:tc>
      </w:tr>
      <w:tr w:rsidR="008E7138" w:rsidRPr="00962038" w14:paraId="5F71970A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1994891A" w14:textId="7B92D8A8" w:rsidR="008E7138" w:rsidRPr="005577C9" w:rsidRDefault="00E04E45" w:rsidP="001808F9">
            <w:pPr>
              <w:spacing w:before="40" w:after="40"/>
            </w:pPr>
            <w:r>
              <w:t xml:space="preserve">Governance Realignment Work </w:t>
            </w:r>
          </w:p>
        </w:tc>
        <w:tc>
          <w:tcPr>
            <w:tcW w:w="2970" w:type="dxa"/>
          </w:tcPr>
          <w:p w14:paraId="725C7140" w14:textId="4EEEEC76" w:rsidR="008E7138" w:rsidRPr="005577C9" w:rsidRDefault="00E04E45" w:rsidP="001808F9">
            <w:pPr>
              <w:spacing w:before="40" w:after="40"/>
              <w:jc w:val="center"/>
            </w:pPr>
            <w:r>
              <w:t>5/22</w:t>
            </w:r>
          </w:p>
        </w:tc>
      </w:tr>
      <w:tr w:rsidR="008E7138" w:rsidRPr="00962038" w14:paraId="291FFD93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23BC3EF7" w14:textId="5F914750" w:rsidR="008E7138" w:rsidRPr="005577C9" w:rsidRDefault="00E04E45" w:rsidP="001808F9">
            <w:pPr>
              <w:spacing w:before="40" w:after="40"/>
            </w:pPr>
            <w:r>
              <w:t>New Steering Committee formed</w:t>
            </w:r>
          </w:p>
        </w:tc>
        <w:tc>
          <w:tcPr>
            <w:tcW w:w="2970" w:type="dxa"/>
          </w:tcPr>
          <w:p w14:paraId="07C84587" w14:textId="6B1A0ED8" w:rsidR="008E7138" w:rsidRPr="005577C9" w:rsidRDefault="00E04E45" w:rsidP="001808F9">
            <w:pPr>
              <w:spacing w:before="40" w:after="40"/>
              <w:jc w:val="center"/>
            </w:pPr>
            <w:r>
              <w:t>6/22</w:t>
            </w:r>
          </w:p>
        </w:tc>
      </w:tr>
      <w:tr w:rsidR="008E7138" w:rsidRPr="00962038" w14:paraId="244BFBEE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4B4FA65A" w14:textId="48D93B2C" w:rsidR="008E7138" w:rsidRPr="005577C9" w:rsidRDefault="00E04E45" w:rsidP="001808F9">
            <w:pPr>
              <w:spacing w:before="40" w:after="40"/>
            </w:pPr>
            <w:r>
              <w:t>Steering Committee Charter executed</w:t>
            </w:r>
          </w:p>
        </w:tc>
        <w:tc>
          <w:tcPr>
            <w:tcW w:w="2970" w:type="dxa"/>
          </w:tcPr>
          <w:p w14:paraId="49AD9C24" w14:textId="65B4CBAC" w:rsidR="008E7138" w:rsidRPr="005577C9" w:rsidRDefault="00E04E45" w:rsidP="001808F9">
            <w:pPr>
              <w:spacing w:before="40" w:after="40"/>
              <w:jc w:val="center"/>
            </w:pPr>
            <w:r>
              <w:t>8/22</w:t>
            </w:r>
          </w:p>
        </w:tc>
      </w:tr>
      <w:tr w:rsidR="008E7138" w:rsidRPr="00962038" w14:paraId="6B8C8837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120C8DB0" w14:textId="026E5780" w:rsidR="008E7138" w:rsidRPr="005577C9" w:rsidRDefault="00E04E45" w:rsidP="001808F9">
            <w:pPr>
              <w:spacing w:before="40" w:after="40"/>
            </w:pPr>
            <w:r>
              <w:t>Statement of work for Modernization Strategy executed</w:t>
            </w:r>
          </w:p>
        </w:tc>
        <w:tc>
          <w:tcPr>
            <w:tcW w:w="2970" w:type="dxa"/>
          </w:tcPr>
          <w:p w14:paraId="06A46392" w14:textId="2B82FFBC" w:rsidR="008E7138" w:rsidRPr="005577C9" w:rsidRDefault="00E04E45" w:rsidP="001808F9">
            <w:pPr>
              <w:spacing w:before="40" w:after="40"/>
              <w:jc w:val="center"/>
            </w:pPr>
            <w:r>
              <w:t>8/22</w:t>
            </w:r>
          </w:p>
        </w:tc>
      </w:tr>
      <w:tr w:rsidR="008E7138" w:rsidRPr="00962038" w14:paraId="599F0BFF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09529E52" w14:textId="1A0677BD" w:rsidR="008E7138" w:rsidRPr="005577C9" w:rsidRDefault="00E04E45" w:rsidP="001808F9">
            <w:pPr>
              <w:spacing w:before="40" w:after="40"/>
            </w:pPr>
            <w:r>
              <w:t>Statement of work for Technical Deep Dive executed</w:t>
            </w:r>
          </w:p>
        </w:tc>
        <w:tc>
          <w:tcPr>
            <w:tcW w:w="2970" w:type="dxa"/>
          </w:tcPr>
          <w:p w14:paraId="4190587A" w14:textId="4FD50848" w:rsidR="008E7138" w:rsidRPr="005577C9" w:rsidRDefault="00E04E45" w:rsidP="001808F9">
            <w:pPr>
              <w:spacing w:before="40" w:after="40"/>
              <w:jc w:val="center"/>
            </w:pPr>
            <w:r>
              <w:t>8/22</w:t>
            </w:r>
          </w:p>
        </w:tc>
      </w:tr>
      <w:tr w:rsidR="008E7138" w:rsidRPr="00962038" w14:paraId="6F2C9013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459C2102" w14:textId="77777777" w:rsidR="008E7138" w:rsidRPr="005577C9" w:rsidRDefault="008E7138" w:rsidP="001808F9">
            <w:pPr>
              <w:spacing w:before="40" w:after="40"/>
            </w:pPr>
          </w:p>
        </w:tc>
        <w:tc>
          <w:tcPr>
            <w:tcW w:w="2970" w:type="dxa"/>
          </w:tcPr>
          <w:p w14:paraId="11AB2EBC" w14:textId="77777777" w:rsidR="008E7138" w:rsidRPr="005577C9" w:rsidRDefault="008E7138" w:rsidP="001808F9">
            <w:pPr>
              <w:spacing w:before="40" w:after="40"/>
              <w:jc w:val="center"/>
            </w:pPr>
          </w:p>
        </w:tc>
      </w:tr>
      <w:tr w:rsidR="008E7138" w:rsidRPr="00962038" w14:paraId="169EC8CD" w14:textId="77777777" w:rsidTr="009574AA">
        <w:trPr>
          <w:cantSplit/>
        </w:trPr>
        <w:tc>
          <w:tcPr>
            <w:tcW w:w="7645" w:type="dxa"/>
            <w:shd w:val="clear" w:color="auto" w:fill="auto"/>
          </w:tcPr>
          <w:p w14:paraId="1BA0286F" w14:textId="77777777" w:rsidR="008E7138" w:rsidRPr="005577C9" w:rsidRDefault="008E7138" w:rsidP="001808F9">
            <w:pPr>
              <w:spacing w:before="40" w:after="40"/>
            </w:pPr>
          </w:p>
        </w:tc>
        <w:tc>
          <w:tcPr>
            <w:tcW w:w="2970" w:type="dxa"/>
          </w:tcPr>
          <w:p w14:paraId="6A3BE3CB" w14:textId="77777777" w:rsidR="008E7138" w:rsidRPr="005577C9" w:rsidRDefault="008E7138" w:rsidP="001808F9">
            <w:pPr>
              <w:spacing w:before="40" w:after="40"/>
              <w:jc w:val="center"/>
            </w:pPr>
          </w:p>
        </w:tc>
      </w:tr>
    </w:tbl>
    <w:p w14:paraId="6350B696" w14:textId="2A798212" w:rsidR="00533563" w:rsidRPr="00533563" w:rsidRDefault="00533563" w:rsidP="00533563"/>
    <w:p w14:paraId="127FA8DC" w14:textId="467DBBDD" w:rsidR="00533563" w:rsidRPr="00533563" w:rsidRDefault="00533563" w:rsidP="00533563"/>
    <w:p w14:paraId="609CF31C" w14:textId="77777777" w:rsidR="00533563" w:rsidRPr="00533563" w:rsidRDefault="00533563" w:rsidP="00533563"/>
    <w:sectPr w:rsidR="00533563" w:rsidRPr="00533563" w:rsidSect="00DD1C84">
      <w:headerReference w:type="default" r:id="rId11"/>
      <w:footerReference w:type="default" r:id="rId12"/>
      <w:pgSz w:w="12240" w:h="15840"/>
      <w:pgMar w:top="1714" w:right="720" w:bottom="810" w:left="900" w:header="36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93DD" w14:textId="77777777" w:rsidR="00121767" w:rsidRDefault="00121767" w:rsidP="00E92144">
      <w:r>
        <w:separator/>
      </w:r>
    </w:p>
  </w:endnote>
  <w:endnote w:type="continuationSeparator" w:id="0">
    <w:p w14:paraId="54A145A8" w14:textId="77777777" w:rsidR="00121767" w:rsidRDefault="00121767" w:rsidP="00E92144">
      <w:r>
        <w:continuationSeparator/>
      </w:r>
    </w:p>
  </w:endnote>
  <w:endnote w:type="continuationNotice" w:id="1">
    <w:p w14:paraId="2FD5B85D" w14:textId="77777777" w:rsidR="00F919A3" w:rsidRDefault="00F919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890912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4E3D4F58" w14:textId="16E50641" w:rsidR="00533563" w:rsidRPr="00533563" w:rsidRDefault="00533563" w:rsidP="00533563">
        <w:pPr>
          <w:pStyle w:val="Footer"/>
          <w:pBdr>
            <w:top w:val="single" w:sz="4" w:space="1" w:color="D9D9D9" w:themeColor="background1" w:themeShade="D9"/>
          </w:pBdr>
        </w:pPr>
        <w:r w:rsidRPr="00533563">
          <w:fldChar w:fldCharType="begin"/>
        </w:r>
        <w:r w:rsidRPr="00533563">
          <w:instrText xml:space="preserve"> PAGE   \* MERGEFORMAT </w:instrText>
        </w:r>
        <w:r w:rsidRPr="00533563">
          <w:fldChar w:fldCharType="separate"/>
        </w:r>
        <w:r w:rsidR="00AC704B">
          <w:rPr>
            <w:noProof/>
          </w:rPr>
          <w:t>1</w:t>
        </w:r>
        <w:r w:rsidRPr="00533563">
          <w:rPr>
            <w:noProof/>
          </w:rPr>
          <w:fldChar w:fldCharType="end"/>
        </w:r>
        <w:r>
          <w:t xml:space="preserve"> | </w:t>
        </w:r>
      </w:p>
    </w:sdtContent>
  </w:sdt>
  <w:p w14:paraId="459119E4" w14:textId="27490BC5" w:rsidR="004615A3" w:rsidRDefault="004615A3" w:rsidP="005D3572">
    <w:pPr>
      <w:pStyle w:val="Footer"/>
      <w:tabs>
        <w:tab w:val="clear" w:pos="4680"/>
        <w:tab w:val="clear" w:pos="9360"/>
        <w:tab w:val="left" w:pos="18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8F8B" w14:textId="77777777" w:rsidR="00121767" w:rsidRDefault="00121767" w:rsidP="00E92144">
      <w:r>
        <w:separator/>
      </w:r>
    </w:p>
  </w:footnote>
  <w:footnote w:type="continuationSeparator" w:id="0">
    <w:p w14:paraId="1B770551" w14:textId="77777777" w:rsidR="00121767" w:rsidRDefault="00121767" w:rsidP="00E92144">
      <w:r>
        <w:continuationSeparator/>
      </w:r>
    </w:p>
  </w:footnote>
  <w:footnote w:type="continuationNotice" w:id="1">
    <w:p w14:paraId="7A48BBF9" w14:textId="77777777" w:rsidR="00F919A3" w:rsidRDefault="00F919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AAAD" w14:textId="6910CEA1" w:rsidR="00D4029E" w:rsidRDefault="00533563" w:rsidP="00E92144">
    <w:pPr>
      <w:pStyle w:val="Header"/>
      <w:rPr>
        <w:color w:val="0070C0"/>
      </w:rPr>
    </w:pPr>
    <w:r w:rsidRPr="00FB64F1">
      <w:rPr>
        <w:noProof/>
        <w:color w:val="0070C0"/>
      </w:rPr>
      <w:drawing>
        <wp:anchor distT="0" distB="0" distL="114300" distR="114300" simplePos="0" relativeHeight="251658242" behindDoc="0" locked="0" layoutInCell="1" allowOverlap="1" wp14:anchorId="75B33C72" wp14:editId="296F4C01">
          <wp:simplePos x="0" y="0"/>
          <wp:positionH relativeFrom="page">
            <wp:posOffset>5554345</wp:posOffset>
          </wp:positionH>
          <wp:positionV relativeFrom="page">
            <wp:posOffset>181610</wp:posOffset>
          </wp:positionV>
          <wp:extent cx="1769925" cy="564022"/>
          <wp:effectExtent l="0" t="0" r="1905" b="7620"/>
          <wp:wrapSquare wrapText="bothSides"/>
          <wp:docPr id="4" name="Picture 7">
            <a:extLst xmlns:a="http://schemas.openxmlformats.org/drawingml/2006/main">
              <a:ext uri="{FF2B5EF4-FFF2-40B4-BE49-F238E27FC236}">
                <a16:creationId xmlns:a16="http://schemas.microsoft.com/office/drawing/2014/main" id="{A57229B0-2E39-4262-8345-B20E8238162A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>
                    <a:extLst>
                      <a:ext uri="{FF2B5EF4-FFF2-40B4-BE49-F238E27FC236}">
                        <a16:creationId xmlns:a16="http://schemas.microsoft.com/office/drawing/2014/main" id="{A57229B0-2E39-4262-8345-B20E8238162A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25" r="14026" b="18925"/>
                  <a:stretch/>
                </pic:blipFill>
                <pic:spPr>
                  <a:xfrm>
                    <a:off x="0" y="0"/>
                    <a:ext cx="1769925" cy="564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441" w:rsidRPr="00FB64F1">
      <w:rPr>
        <w:noProof/>
      </w:rPr>
      <w:drawing>
        <wp:anchor distT="0" distB="0" distL="114300" distR="114300" simplePos="0" relativeHeight="251658240" behindDoc="0" locked="0" layoutInCell="1" allowOverlap="1" wp14:anchorId="0A05B6D3" wp14:editId="2B3225BA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907020" cy="845820"/>
          <wp:effectExtent l="0" t="0" r="0" b="0"/>
          <wp:wrapNone/>
          <wp:docPr id="14" name="Picture 13">
            <a:extLst xmlns:a="http://schemas.openxmlformats.org/drawingml/2006/main">
              <a:ext uri="{FF2B5EF4-FFF2-40B4-BE49-F238E27FC236}">
                <a16:creationId xmlns:a16="http://schemas.microsoft.com/office/drawing/2014/main" id="{CC2A7C62-1E8E-4646-9F8C-16F7D9E8116B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CC2A7C62-1E8E-4646-9F8C-16F7D9E8116B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0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F1" w:rsidRPr="00FB64F1">
      <w:rPr>
        <w:noProof/>
      </w:rPr>
      <w:drawing>
        <wp:anchor distT="0" distB="0" distL="114300" distR="114300" simplePos="0" relativeHeight="251658241" behindDoc="0" locked="0" layoutInCell="1" allowOverlap="1" wp14:anchorId="6D205FF2" wp14:editId="50B77779">
          <wp:simplePos x="0" y="0"/>
          <wp:positionH relativeFrom="page">
            <wp:posOffset>9829800</wp:posOffset>
          </wp:positionH>
          <wp:positionV relativeFrom="page">
            <wp:posOffset>464820</wp:posOffset>
          </wp:positionV>
          <wp:extent cx="2280586" cy="726690"/>
          <wp:effectExtent l="0" t="0" r="5715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A57229B0-2E39-4262-8345-B20E8238162A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A57229B0-2E39-4262-8345-B20E8238162A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25" r="14026" b="18925"/>
                  <a:stretch/>
                </pic:blipFill>
                <pic:spPr>
                  <a:xfrm>
                    <a:off x="0" y="0"/>
                    <a:ext cx="2310508" cy="736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6B3852" w14:textId="62D1167A" w:rsidR="00D4029E" w:rsidRDefault="00D4029E" w:rsidP="00E92144">
    <w:pPr>
      <w:pStyle w:val="Header"/>
    </w:pPr>
  </w:p>
  <w:p w14:paraId="54E0851D" w14:textId="0FA7AA1B" w:rsidR="00D4029E" w:rsidRDefault="00D4029E" w:rsidP="00E92144">
    <w:pPr>
      <w:pStyle w:val="Header"/>
    </w:pPr>
  </w:p>
  <w:p w14:paraId="1E655561" w14:textId="3DDEFDE7" w:rsidR="00D4029E" w:rsidRDefault="00D4029E" w:rsidP="00E92144">
    <w:pPr>
      <w:pStyle w:val="Header"/>
    </w:pPr>
  </w:p>
  <w:p w14:paraId="2FC847EB" w14:textId="1DAB297D" w:rsidR="009942A1" w:rsidRPr="00533563" w:rsidRDefault="002D0BF2" w:rsidP="002D0BF2">
    <w:pPr>
      <w:pStyle w:val="Header"/>
      <w:tabs>
        <w:tab w:val="clear" w:pos="9360"/>
        <w:tab w:val="right" w:pos="10620"/>
      </w:tabs>
      <w:rPr>
        <w:color w:val="0070C0"/>
        <w:sz w:val="24"/>
        <w:szCs w:val="24"/>
      </w:rPr>
    </w:pPr>
    <w:r>
      <w:rPr>
        <w:color w:val="0070C0"/>
        <w:sz w:val="24"/>
        <w:szCs w:val="24"/>
      </w:rPr>
      <w:tab/>
    </w:r>
    <w:r>
      <w:rPr>
        <w:color w:val="0070C0"/>
        <w:sz w:val="24"/>
        <w:szCs w:val="24"/>
      </w:rPr>
      <w:tab/>
      <w:t xml:space="preserve">  </w:t>
    </w:r>
    <w:r w:rsidR="00E40F40" w:rsidRPr="00533563">
      <w:rPr>
        <w:color w:val="0070C0"/>
        <w:sz w:val="24"/>
        <w:szCs w:val="24"/>
      </w:rPr>
      <w:t>watech.wa.gov</w:t>
    </w:r>
    <w:r w:rsidR="002A318F" w:rsidRPr="00533563">
      <w:rPr>
        <w:color w:val="0070C0"/>
        <w:sz w:val="24"/>
        <w:szCs w:val="24"/>
      </w:rPr>
      <w:softHyphen/>
    </w:r>
  </w:p>
  <w:p w14:paraId="08A23D80" w14:textId="0939E19B" w:rsidR="00EB2829" w:rsidRPr="005D3572" w:rsidRDefault="00EB2829" w:rsidP="003C3392">
    <w:pPr>
      <w:pStyle w:val="Header"/>
      <w:jc w:val="right"/>
      <w:rPr>
        <w:rFonts w:ascii="Arial Nova" w:hAnsi="Arial Nova"/>
        <w:color w:val="0070C0"/>
        <w:sz w:val="24"/>
        <w:szCs w:val="24"/>
      </w:rPr>
    </w:pPr>
    <w:r>
      <w:rPr>
        <w:rFonts w:ascii="Arial Nova" w:hAnsi="Arial Nova"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9CF25D5" wp14:editId="34BC7F47">
              <wp:simplePos x="0" y="0"/>
              <wp:positionH relativeFrom="page">
                <wp:posOffset>586740</wp:posOffset>
              </wp:positionH>
              <wp:positionV relativeFrom="page">
                <wp:posOffset>1104900</wp:posOffset>
              </wp:positionV>
              <wp:extent cx="6737350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73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0DC13" id="Straight Connector 9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2pt,87pt" to="576.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" strokecolor="#5b9bd5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4094"/>
    <w:multiLevelType w:val="hybridMultilevel"/>
    <w:tmpl w:val="811A2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A1"/>
    <w:rsid w:val="00003ADC"/>
    <w:rsid w:val="00053441"/>
    <w:rsid w:val="000B51E5"/>
    <w:rsid w:val="00121767"/>
    <w:rsid w:val="001478B4"/>
    <w:rsid w:val="001540DB"/>
    <w:rsid w:val="00167594"/>
    <w:rsid w:val="001F683A"/>
    <w:rsid w:val="001F7BC0"/>
    <w:rsid w:val="00230FCE"/>
    <w:rsid w:val="00255E2C"/>
    <w:rsid w:val="002A318F"/>
    <w:rsid w:val="002B1C24"/>
    <w:rsid w:val="002B7FAA"/>
    <w:rsid w:val="002D0BF2"/>
    <w:rsid w:val="00300A38"/>
    <w:rsid w:val="00345132"/>
    <w:rsid w:val="00373D62"/>
    <w:rsid w:val="003740F3"/>
    <w:rsid w:val="003750A3"/>
    <w:rsid w:val="00392B5D"/>
    <w:rsid w:val="003A4623"/>
    <w:rsid w:val="003C3392"/>
    <w:rsid w:val="0040550F"/>
    <w:rsid w:val="00422C21"/>
    <w:rsid w:val="00432C28"/>
    <w:rsid w:val="00433649"/>
    <w:rsid w:val="00447FEA"/>
    <w:rsid w:val="0045745F"/>
    <w:rsid w:val="004615A3"/>
    <w:rsid w:val="00487878"/>
    <w:rsid w:val="004A7239"/>
    <w:rsid w:val="004C0B9E"/>
    <w:rsid w:val="00533563"/>
    <w:rsid w:val="00577712"/>
    <w:rsid w:val="005A2122"/>
    <w:rsid w:val="005B64A2"/>
    <w:rsid w:val="005D3572"/>
    <w:rsid w:val="005F0C9C"/>
    <w:rsid w:val="00654C95"/>
    <w:rsid w:val="00684F63"/>
    <w:rsid w:val="00695457"/>
    <w:rsid w:val="006C2DC8"/>
    <w:rsid w:val="006D5063"/>
    <w:rsid w:val="00726451"/>
    <w:rsid w:val="00747BB4"/>
    <w:rsid w:val="00761F20"/>
    <w:rsid w:val="007A2A24"/>
    <w:rsid w:val="007B4D53"/>
    <w:rsid w:val="007C3824"/>
    <w:rsid w:val="007F3FA7"/>
    <w:rsid w:val="0081069C"/>
    <w:rsid w:val="008538D4"/>
    <w:rsid w:val="0085456F"/>
    <w:rsid w:val="008A5B98"/>
    <w:rsid w:val="008D33A9"/>
    <w:rsid w:val="008D5163"/>
    <w:rsid w:val="008E7138"/>
    <w:rsid w:val="00911AB5"/>
    <w:rsid w:val="00934AA7"/>
    <w:rsid w:val="00944398"/>
    <w:rsid w:val="00957231"/>
    <w:rsid w:val="009574AA"/>
    <w:rsid w:val="00964FF8"/>
    <w:rsid w:val="00975A73"/>
    <w:rsid w:val="009942A1"/>
    <w:rsid w:val="009A7598"/>
    <w:rsid w:val="009D5BA7"/>
    <w:rsid w:val="009D6633"/>
    <w:rsid w:val="009E3900"/>
    <w:rsid w:val="009E603A"/>
    <w:rsid w:val="00A27C54"/>
    <w:rsid w:val="00A6252E"/>
    <w:rsid w:val="00A812FC"/>
    <w:rsid w:val="00A8378D"/>
    <w:rsid w:val="00AB0FCE"/>
    <w:rsid w:val="00AC704B"/>
    <w:rsid w:val="00AF405A"/>
    <w:rsid w:val="00B43287"/>
    <w:rsid w:val="00B952A9"/>
    <w:rsid w:val="00BA14D9"/>
    <w:rsid w:val="00BE0D8B"/>
    <w:rsid w:val="00C60117"/>
    <w:rsid w:val="00C84495"/>
    <w:rsid w:val="00CA60C1"/>
    <w:rsid w:val="00CC454F"/>
    <w:rsid w:val="00CC5242"/>
    <w:rsid w:val="00D4029E"/>
    <w:rsid w:val="00D97BA7"/>
    <w:rsid w:val="00D97DAD"/>
    <w:rsid w:val="00DB16BA"/>
    <w:rsid w:val="00DD1C84"/>
    <w:rsid w:val="00DE0BD4"/>
    <w:rsid w:val="00E04E45"/>
    <w:rsid w:val="00E05B27"/>
    <w:rsid w:val="00E24A5D"/>
    <w:rsid w:val="00E26018"/>
    <w:rsid w:val="00E40F40"/>
    <w:rsid w:val="00E8227B"/>
    <w:rsid w:val="00E92144"/>
    <w:rsid w:val="00EA4913"/>
    <w:rsid w:val="00EB2829"/>
    <w:rsid w:val="00EC040D"/>
    <w:rsid w:val="00F35286"/>
    <w:rsid w:val="00F4021D"/>
    <w:rsid w:val="00F5081A"/>
    <w:rsid w:val="00F65CEC"/>
    <w:rsid w:val="00F919A3"/>
    <w:rsid w:val="00FB594A"/>
    <w:rsid w:val="00FB64F1"/>
    <w:rsid w:val="00FF69EC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96B54"/>
  <w14:defaultImageDpi w14:val="32767"/>
  <w15:chartTrackingRefBased/>
  <w15:docId w15:val="{DDFB6CE0-B84E-4BAB-9335-5B85E2C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D5BA7"/>
    <w:pPr>
      <w:autoSpaceDE w:val="0"/>
      <w:autoSpaceDN w:val="0"/>
      <w:adjustRightInd w:val="0"/>
      <w:spacing w:after="0" w:line="276" w:lineRule="auto"/>
      <w:textAlignment w:val="center"/>
    </w:pPr>
    <w:rPr>
      <w:rFonts w:ascii="Arial Nova Light" w:hAnsi="Arial Nova Light" w:cs="Arial"/>
      <w:color w:val="000000"/>
      <w:sz w:val="20"/>
      <w:szCs w:val="20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E8227B"/>
    <w:pPr>
      <w:spacing w:before="240"/>
      <w:outlineLvl w:val="0"/>
    </w:pPr>
    <w:rPr>
      <w:rFonts w:ascii="Arial" w:hAnsi="Arial"/>
      <w:b/>
      <w:noProof/>
      <w:color w:val="044E7D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132"/>
    <w:pPr>
      <w:pBdr>
        <w:bottom w:val="single" w:sz="12" w:space="1" w:color="auto"/>
      </w:pBdr>
      <w:spacing w:before="240"/>
      <w:outlineLvl w:val="1"/>
    </w:pPr>
    <w:rPr>
      <w:rFonts w:ascii="Arial" w:hAnsi="Arial"/>
      <w:color w:val="2F5496" w:themeColor="accent5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1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2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1"/>
  </w:style>
  <w:style w:type="paragraph" w:styleId="Footer">
    <w:name w:val="footer"/>
    <w:basedOn w:val="Normal"/>
    <w:link w:val="FooterChar"/>
    <w:uiPriority w:val="99"/>
    <w:unhideWhenUsed/>
    <w:rsid w:val="009942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1"/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E8227B"/>
    <w:rPr>
      <w:rFonts w:ascii="Arial" w:hAnsi="Arial" w:cs="Arial"/>
      <w:b/>
      <w:noProof/>
      <w:color w:val="044E7D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45132"/>
    <w:rPr>
      <w:rFonts w:ascii="Arial" w:hAnsi="Arial" w:cs="Arial"/>
      <w:color w:val="2F5496" w:themeColor="accent5" w:themeShade="BF"/>
      <w:sz w:val="32"/>
      <w:szCs w:val="32"/>
    </w:rPr>
  </w:style>
  <w:style w:type="paragraph" w:styleId="NoSpacing">
    <w:name w:val="No Spacing"/>
    <w:aliases w:val="subtitle"/>
    <w:basedOn w:val="Heading2"/>
    <w:link w:val="NoSpacingChar"/>
    <w:uiPriority w:val="1"/>
    <w:qFormat/>
    <w:rsid w:val="00432C28"/>
    <w:rPr>
      <w:rFonts w:ascii="Arial Nova" w:hAnsi="Arial Nova"/>
      <w:color w:val="auto"/>
      <w:sz w:val="28"/>
      <w:szCs w:val="28"/>
    </w:rPr>
  </w:style>
  <w:style w:type="character" w:customStyle="1" w:styleId="NoSpacingChar">
    <w:name w:val="No Spacing Char"/>
    <w:aliases w:val="subtitle Char"/>
    <w:basedOn w:val="DefaultParagraphFont"/>
    <w:link w:val="NoSpacing"/>
    <w:uiPriority w:val="1"/>
    <w:rsid w:val="00432C28"/>
    <w:rPr>
      <w:rFonts w:ascii="Arial Nova" w:hAnsi="Arial Nova" w:cs="Arial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1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13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45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132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345132"/>
  </w:style>
  <w:style w:type="paragraph" w:customStyle="1" w:styleId="BasicParagraph">
    <w:name w:val="[Basic Paragraph]"/>
    <w:basedOn w:val="Normal"/>
    <w:uiPriority w:val="99"/>
    <w:rsid w:val="00345132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C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C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7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E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389a2-7647-4d02-b584-2aa114c45dcf">
      <UserInfo>
        <DisplayName>Peterson, Karen L (LNI)</DisplayName>
        <AccountId>123</AccountId>
        <AccountType/>
      </UserInfo>
      <UserInfo>
        <DisplayName>Young, Sherrie L (LNI)</DisplayName>
        <AccountId>87</AccountId>
        <AccountType/>
      </UserInfo>
      <UserInfo>
        <DisplayName>Macsalka, Eddie (LNI)</DisplayName>
        <AccountId>111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4E79D9FC753468A8129AD3C349248" ma:contentTypeVersion="1" ma:contentTypeDescription="Create a new document." ma:contentTypeScope="" ma:versionID="26c285e979220b0be0cd0ffbda7deddf">
  <xsd:schema xmlns:xsd="http://www.w3.org/2001/XMLSchema" xmlns:xs="http://www.w3.org/2001/XMLSchema" xmlns:p="http://schemas.microsoft.com/office/2006/metadata/properties" xmlns:ns2="74d389a2-7647-4d02-b584-2aa114c45dcf" targetNamespace="http://schemas.microsoft.com/office/2006/metadata/properties" ma:root="true" ma:fieldsID="6d01b6c38eef823a27c1fb2998d98ba6" ns2:_="">
    <xsd:import namespace="74d389a2-7647-4d02-b584-2aa114c45dc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389a2-7647-4d02-b584-2aa114c45d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9E7C-8066-4E68-8C75-EDD861FE5701}">
  <ds:schemaRefs>
    <ds:schemaRef ds:uri="74d389a2-7647-4d02-b584-2aa114c45d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D144F0-E348-4570-A9B7-7F0B8968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389a2-7647-4d02-b584-2aa114c45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167D6-59EF-4C11-8B69-7C0C7FACD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0AC6D-9D65-4857-8ACE-1011BDFB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Chris (WaTech)</dc:creator>
  <cp:keywords/>
  <dc:description/>
  <cp:lastModifiedBy>Knight, Angela (WaTech)</cp:lastModifiedBy>
  <cp:revision>2</cp:revision>
  <cp:lastPrinted>2021-03-26T04:44:00Z</cp:lastPrinted>
  <dcterms:created xsi:type="dcterms:W3CDTF">2022-09-09T22:34:00Z</dcterms:created>
  <dcterms:modified xsi:type="dcterms:W3CDTF">2022-09-09T22:34:00Z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0x0101000A74E79D9FC753468A8129AD3C349248</vt:lpwstr>
  </property>
</Properties>
</file>